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D371" w14:textId="0E412AAD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38213374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12CD72B0" w14:textId="77777777" w:rsidR="006F21B2" w:rsidRPr="008C0CFB" w:rsidRDefault="006F21B2" w:rsidP="00442798">
      <w:pPr>
        <w:spacing w:after="0"/>
        <w:rPr>
          <w:rFonts w:ascii="Arial" w:hAnsi="Arial" w:cs="Arial"/>
        </w:rPr>
      </w:pPr>
    </w:p>
    <w:p w14:paraId="5EBFFF53" w14:textId="1A9D4450" w:rsidR="006F21B2" w:rsidRPr="00E6472D" w:rsidRDefault="006F21B2" w:rsidP="00442798">
      <w:pPr>
        <w:spacing w:after="0"/>
        <w:rPr>
          <w:rFonts w:ascii="Arial" w:hAnsi="Arial" w:cs="Arial"/>
          <w:lang w:val="fr-CH"/>
        </w:rPr>
      </w:pPr>
      <w:r w:rsidRPr="00E6472D">
        <w:rPr>
          <w:rFonts w:ascii="Arial" w:hAnsi="Arial" w:cs="Arial"/>
          <w:lang w:val="fr-CH"/>
        </w:rPr>
        <w:t>Z</w:t>
      </w:r>
      <w:r w:rsidR="00E6472D" w:rsidRPr="00E6472D">
        <w:rPr>
          <w:rFonts w:ascii="Arial" w:hAnsi="Arial" w:cs="Arial"/>
          <w:lang w:val="fr-CH"/>
        </w:rPr>
        <w:t>u</w:t>
      </w:r>
      <w:r w:rsidRPr="00E6472D">
        <w:rPr>
          <w:rFonts w:ascii="Arial" w:hAnsi="Arial" w:cs="Arial"/>
          <w:lang w:val="fr-CH"/>
        </w:rPr>
        <w:t xml:space="preserve">rich, </w:t>
      </w:r>
      <w:r w:rsidR="00E6472D" w:rsidRPr="00E6472D">
        <w:rPr>
          <w:rFonts w:ascii="Arial" w:hAnsi="Arial" w:cs="Arial"/>
          <w:lang w:val="fr-CH"/>
        </w:rPr>
        <w:t xml:space="preserve">le </w:t>
      </w:r>
      <w:r w:rsidR="008276E4" w:rsidRPr="00E6472D">
        <w:rPr>
          <w:rFonts w:ascii="Arial" w:hAnsi="Arial" w:cs="Arial"/>
          <w:lang w:val="fr-CH"/>
        </w:rPr>
        <w:t>31</w:t>
      </w:r>
      <w:r w:rsidR="00E6472D" w:rsidRPr="00E6472D">
        <w:rPr>
          <w:rFonts w:ascii="Arial" w:hAnsi="Arial" w:cs="Arial"/>
          <w:lang w:val="fr-CH"/>
        </w:rPr>
        <w:t xml:space="preserve"> mars</w:t>
      </w:r>
      <w:r w:rsidR="00292C78" w:rsidRPr="00E6472D">
        <w:rPr>
          <w:rFonts w:ascii="Arial" w:hAnsi="Arial" w:cs="Arial"/>
          <w:lang w:val="fr-CH"/>
        </w:rPr>
        <w:t xml:space="preserve"> 2024</w:t>
      </w:r>
    </w:p>
    <w:p w14:paraId="06B2FD2E" w14:textId="77777777" w:rsidR="006F21B2" w:rsidRPr="00E6472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1BA78203" w14:textId="7D641B59" w:rsidR="006F21B2" w:rsidRPr="00E6472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4337EB1" w14:textId="5E1ADE3F" w:rsidR="006F21B2" w:rsidRPr="00E6472D" w:rsidRDefault="00E6472D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E6472D">
        <w:rPr>
          <w:rFonts w:ascii="Arial" w:hAnsi="Arial" w:cs="Arial"/>
          <w:b/>
          <w:sz w:val="28"/>
          <w:lang w:val="fr-CH"/>
        </w:rPr>
        <w:t>Communiqué d</w:t>
      </w:r>
      <w:r>
        <w:rPr>
          <w:rFonts w:ascii="Arial" w:hAnsi="Arial" w:cs="Arial"/>
          <w:b/>
          <w:sz w:val="28"/>
          <w:lang w:val="fr-CH"/>
        </w:rPr>
        <w:t>e presse</w:t>
      </w:r>
    </w:p>
    <w:p w14:paraId="468FF85C" w14:textId="77777777" w:rsidR="006F21B2" w:rsidRPr="00E6472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C37B3C5" w14:textId="77777777" w:rsidR="006F21B2" w:rsidRPr="00E6472D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497F106F" w14:textId="1E7ECA8B" w:rsidR="00E6472D" w:rsidRPr="0058123E" w:rsidRDefault="00E6472D" w:rsidP="00E6472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58123E">
        <w:rPr>
          <w:rFonts w:ascii="Arial" w:hAnsi="Arial" w:cs="Arial"/>
          <w:i/>
          <w:sz w:val="20"/>
          <w:lang w:val="fr-CH"/>
        </w:rPr>
        <w:t>Volume:</w:t>
      </w:r>
      <w:proofErr w:type="gramEnd"/>
      <w:r w:rsidRPr="0058123E">
        <w:rPr>
          <w:rFonts w:ascii="Arial" w:hAnsi="Arial" w:cs="Arial"/>
          <w:i/>
          <w:sz w:val="20"/>
          <w:lang w:val="fr-CH"/>
        </w:rPr>
        <w:t xml:space="preserve"> env. </w:t>
      </w:r>
      <w:r>
        <w:rPr>
          <w:rFonts w:ascii="Arial" w:hAnsi="Arial" w:cs="Arial"/>
          <w:i/>
          <w:sz w:val="20"/>
          <w:lang w:val="fr-CH"/>
        </w:rPr>
        <w:t>7</w:t>
      </w:r>
      <w:r w:rsidR="00916C13">
        <w:rPr>
          <w:rFonts w:ascii="Arial" w:hAnsi="Arial" w:cs="Arial"/>
          <w:i/>
          <w:sz w:val="20"/>
          <w:lang w:val="fr-CH"/>
        </w:rPr>
        <w:t>8</w:t>
      </w:r>
      <w:r w:rsidRPr="0058123E">
        <w:rPr>
          <w:rFonts w:ascii="Arial" w:hAnsi="Arial" w:cs="Arial"/>
          <w:i/>
          <w:sz w:val="20"/>
          <w:lang w:val="fr-CH"/>
        </w:rPr>
        <w:t>00 caractères pour le texte, y compris chapeau, sous-titres et espaces; hors titre, encadré à propos d’Energie-bois Suisse et légendes</w:t>
      </w:r>
    </w:p>
    <w:p w14:paraId="1552AE6A" w14:textId="77777777" w:rsidR="006F21B2" w:rsidRPr="00916C13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fr-CH"/>
        </w:rPr>
      </w:pPr>
    </w:p>
    <w:p w14:paraId="1FF9E7A2" w14:textId="77777777" w:rsidR="006F21B2" w:rsidRPr="00916C13" w:rsidRDefault="006F21B2" w:rsidP="00442798">
      <w:pPr>
        <w:spacing w:after="0"/>
        <w:rPr>
          <w:rFonts w:ascii="Arial" w:hAnsi="Arial" w:cs="Arial"/>
          <w:sz w:val="28"/>
          <w:lang w:val="fr-CH"/>
        </w:rPr>
      </w:pPr>
    </w:p>
    <w:p w14:paraId="00A8BD96" w14:textId="4AD3ABAC" w:rsidR="000142AF" w:rsidRPr="00E6472D" w:rsidRDefault="00E6472D" w:rsidP="00442798">
      <w:pPr>
        <w:spacing w:after="0"/>
        <w:rPr>
          <w:rFonts w:ascii="Arial" w:hAnsi="Arial" w:cs="Arial"/>
          <w:bCs/>
          <w:lang w:val="fr-CH"/>
        </w:rPr>
      </w:pPr>
      <w:r w:rsidRPr="00E6472D">
        <w:rPr>
          <w:rFonts w:ascii="Arial" w:hAnsi="Arial" w:cs="Arial"/>
          <w:bCs/>
          <w:lang w:val="fr-CH"/>
        </w:rPr>
        <w:t>Titres proposés</w:t>
      </w:r>
    </w:p>
    <w:p w14:paraId="6304A8A3" w14:textId="5C961321" w:rsidR="00882101" w:rsidRPr="00E6472D" w:rsidRDefault="00E6472D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E6472D">
        <w:rPr>
          <w:rFonts w:ascii="Arial" w:hAnsi="Arial" w:cs="Arial"/>
          <w:b/>
          <w:sz w:val="28"/>
          <w:lang w:val="fr-CH"/>
        </w:rPr>
        <w:t>Monitoring du bois-</w:t>
      </w:r>
      <w:proofErr w:type="gramStart"/>
      <w:r w:rsidRPr="00E6472D">
        <w:rPr>
          <w:rFonts w:ascii="Arial" w:hAnsi="Arial" w:cs="Arial"/>
          <w:b/>
          <w:sz w:val="28"/>
          <w:lang w:val="fr-CH"/>
        </w:rPr>
        <w:t>énergie:</w:t>
      </w:r>
      <w:proofErr w:type="gramEnd"/>
      <w:r w:rsidRPr="00E6472D">
        <w:rPr>
          <w:rFonts w:ascii="Arial" w:hAnsi="Arial" w:cs="Arial"/>
          <w:b/>
          <w:sz w:val="28"/>
          <w:lang w:val="fr-CH"/>
        </w:rPr>
        <w:t xml:space="preserve"> utilis</w:t>
      </w:r>
      <w:r>
        <w:rPr>
          <w:rFonts w:ascii="Arial" w:hAnsi="Arial" w:cs="Arial"/>
          <w:b/>
          <w:sz w:val="28"/>
          <w:lang w:val="fr-CH"/>
        </w:rPr>
        <w:t xml:space="preserve">er à bon escient une ressource précieuse </w:t>
      </w:r>
    </w:p>
    <w:p w14:paraId="5B104092" w14:textId="77AB1B11" w:rsidR="00AA1C11" w:rsidRPr="00E6472D" w:rsidRDefault="00E6472D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E6472D">
        <w:rPr>
          <w:rFonts w:ascii="Arial" w:hAnsi="Arial" w:cs="Arial"/>
          <w:b/>
          <w:sz w:val="28"/>
          <w:lang w:val="fr-CH"/>
        </w:rPr>
        <w:t xml:space="preserve">Utilisons le bois-énergie </w:t>
      </w:r>
      <w:r w:rsidR="00916C13">
        <w:rPr>
          <w:rFonts w:ascii="Arial" w:hAnsi="Arial" w:cs="Arial"/>
          <w:b/>
          <w:sz w:val="28"/>
          <w:lang w:val="fr-CH"/>
        </w:rPr>
        <w:t>avec</w:t>
      </w:r>
      <w:r w:rsidRPr="00E6472D">
        <w:rPr>
          <w:rFonts w:ascii="Arial" w:hAnsi="Arial" w:cs="Arial"/>
          <w:b/>
          <w:sz w:val="28"/>
          <w:lang w:val="fr-CH"/>
        </w:rPr>
        <w:t xml:space="preserve"> efficacité </w:t>
      </w:r>
      <w:r w:rsidR="00916C13">
        <w:rPr>
          <w:rFonts w:ascii="Arial" w:hAnsi="Arial" w:cs="Arial"/>
          <w:b/>
          <w:sz w:val="28"/>
          <w:lang w:val="fr-CH"/>
        </w:rPr>
        <w:t>et intelligence</w:t>
      </w:r>
      <w:r w:rsidR="00AA1C11" w:rsidRPr="00E6472D">
        <w:rPr>
          <w:rFonts w:ascii="Arial" w:hAnsi="Arial" w:cs="Arial"/>
          <w:b/>
          <w:sz w:val="28"/>
          <w:lang w:val="fr-CH"/>
        </w:rPr>
        <w:t xml:space="preserve"> </w:t>
      </w:r>
    </w:p>
    <w:p w14:paraId="3AABC1C6" w14:textId="77F70918" w:rsidR="00AA1C11" w:rsidRPr="00916C13" w:rsidRDefault="00E6472D" w:rsidP="00442798">
      <w:pPr>
        <w:spacing w:after="0"/>
        <w:rPr>
          <w:rFonts w:ascii="Arial" w:hAnsi="Arial" w:cs="Arial"/>
          <w:b/>
          <w:sz w:val="28"/>
          <w:lang w:val="fr-CH"/>
        </w:rPr>
      </w:pPr>
      <w:r w:rsidRPr="00916C13">
        <w:rPr>
          <w:rFonts w:ascii="Arial" w:hAnsi="Arial" w:cs="Arial"/>
          <w:b/>
          <w:sz w:val="28"/>
          <w:lang w:val="fr-CH"/>
        </w:rPr>
        <w:t>Le bois-énergie inutilisé n’est plus disponible à volonté</w:t>
      </w:r>
    </w:p>
    <w:p w14:paraId="33492129" w14:textId="77777777" w:rsidR="0027620A" w:rsidRPr="00916C13" w:rsidRDefault="0027620A" w:rsidP="00442798">
      <w:pPr>
        <w:spacing w:after="0"/>
        <w:rPr>
          <w:rFonts w:ascii="Arial" w:hAnsi="Arial" w:cs="Arial"/>
          <w:b/>
          <w:sz w:val="28"/>
          <w:lang w:val="fr-CH"/>
        </w:rPr>
      </w:pPr>
    </w:p>
    <w:p w14:paraId="153D1C9D" w14:textId="2E2F0C26" w:rsidR="00EC0C6F" w:rsidRPr="00593351" w:rsidRDefault="00E6472D" w:rsidP="00FB7C48">
      <w:pPr>
        <w:spacing w:after="0"/>
        <w:rPr>
          <w:rFonts w:ascii="Arial" w:hAnsi="Arial" w:cs="Arial"/>
          <w:bCs/>
          <w:lang w:val="fr-CH"/>
        </w:rPr>
      </w:pPr>
      <w:r w:rsidRPr="00593351">
        <w:rPr>
          <w:rFonts w:ascii="Arial" w:hAnsi="Arial" w:cs="Arial"/>
          <w:b/>
          <w:lang w:val="fr-CH"/>
        </w:rPr>
        <w:t>Au vu d’une demande en bois-énergie</w:t>
      </w:r>
      <w:r w:rsidR="00916C13">
        <w:rPr>
          <w:rFonts w:ascii="Arial" w:hAnsi="Arial" w:cs="Arial"/>
          <w:b/>
          <w:lang w:val="fr-CH"/>
        </w:rPr>
        <w:t xml:space="preserve"> fortement accrue</w:t>
      </w:r>
      <w:r w:rsidRPr="00593351">
        <w:rPr>
          <w:rFonts w:ascii="Arial" w:hAnsi="Arial" w:cs="Arial"/>
          <w:b/>
          <w:lang w:val="fr-CH"/>
        </w:rPr>
        <w:t xml:space="preserve">, </w:t>
      </w:r>
      <w:r w:rsidR="00593351" w:rsidRPr="00593351">
        <w:rPr>
          <w:rFonts w:ascii="Arial" w:hAnsi="Arial" w:cs="Arial"/>
          <w:b/>
          <w:lang w:val="fr-CH"/>
        </w:rPr>
        <w:t xml:space="preserve">les Suisses sont de plus en plus nombreux à se préoccuper des réserves futures </w:t>
      </w:r>
      <w:r w:rsidR="00916C13">
        <w:rPr>
          <w:rFonts w:ascii="Arial" w:hAnsi="Arial" w:cs="Arial"/>
          <w:b/>
          <w:lang w:val="fr-CH"/>
        </w:rPr>
        <w:t>disponibles dans</w:t>
      </w:r>
      <w:r w:rsidR="00593351" w:rsidRPr="00593351">
        <w:rPr>
          <w:rFonts w:ascii="Arial" w:hAnsi="Arial" w:cs="Arial"/>
          <w:b/>
          <w:lang w:val="fr-CH"/>
        </w:rPr>
        <w:t xml:space="preserve"> nos forêts. L’Office fédéral de l’environnement OFEV a </w:t>
      </w:r>
      <w:r w:rsidR="00916C13">
        <w:rPr>
          <w:rFonts w:ascii="Arial" w:hAnsi="Arial" w:cs="Arial"/>
          <w:b/>
          <w:lang w:val="fr-CH"/>
        </w:rPr>
        <w:t>chargé</w:t>
      </w:r>
      <w:r w:rsidR="00593351" w:rsidRPr="00593351">
        <w:rPr>
          <w:rFonts w:ascii="Arial" w:hAnsi="Arial" w:cs="Arial"/>
          <w:b/>
          <w:lang w:val="fr-CH"/>
        </w:rPr>
        <w:t xml:space="preserve"> Energie-bois Suisse d’élaborer l’é</w:t>
      </w:r>
      <w:r w:rsidR="00593351">
        <w:rPr>
          <w:rFonts w:ascii="Arial" w:hAnsi="Arial" w:cs="Arial"/>
          <w:b/>
          <w:lang w:val="fr-CH"/>
        </w:rPr>
        <w:t xml:space="preserve">tude de monitoring sur le bois-énergie 2023, ce dans le but </w:t>
      </w:r>
      <w:r w:rsidR="00916C13">
        <w:rPr>
          <w:rFonts w:ascii="Arial" w:hAnsi="Arial" w:cs="Arial"/>
          <w:b/>
          <w:lang w:val="fr-CH"/>
        </w:rPr>
        <w:t>d’élucider</w:t>
      </w:r>
      <w:r w:rsidR="00593351">
        <w:rPr>
          <w:rFonts w:ascii="Arial" w:hAnsi="Arial" w:cs="Arial"/>
          <w:b/>
          <w:lang w:val="fr-CH"/>
        </w:rPr>
        <w:t xml:space="preserve"> la consommation actuelle, les potentiels inexploités, la consommation future de nouveaux projets, ainsi que les meilleures stratégies </w:t>
      </w:r>
      <w:r w:rsidR="00916C13">
        <w:rPr>
          <w:rFonts w:ascii="Arial" w:hAnsi="Arial" w:cs="Arial"/>
          <w:b/>
          <w:lang w:val="fr-CH"/>
        </w:rPr>
        <w:t>d</w:t>
      </w:r>
      <w:r w:rsidR="00593351">
        <w:rPr>
          <w:rFonts w:ascii="Arial" w:hAnsi="Arial" w:cs="Arial"/>
          <w:b/>
          <w:lang w:val="fr-CH"/>
        </w:rPr>
        <w:t xml:space="preserve">’utilisation. </w:t>
      </w:r>
    </w:p>
    <w:p w14:paraId="078C55C1" w14:textId="77777777" w:rsidR="00EC0C6F" w:rsidRPr="00593351" w:rsidRDefault="00EC0C6F" w:rsidP="00FB7C48">
      <w:pPr>
        <w:spacing w:after="0"/>
        <w:rPr>
          <w:rFonts w:ascii="Arial" w:hAnsi="Arial" w:cs="Arial"/>
          <w:bCs/>
          <w:lang w:val="fr-CH"/>
        </w:rPr>
      </w:pPr>
    </w:p>
    <w:p w14:paraId="66EB0812" w14:textId="3CAD4247" w:rsidR="00F60FFE" w:rsidRPr="001D1F63" w:rsidRDefault="008276E4" w:rsidP="00FB7C48">
      <w:pPr>
        <w:spacing w:after="0"/>
        <w:rPr>
          <w:rFonts w:ascii="Arial" w:hAnsi="Arial" w:cs="Arial"/>
          <w:bCs/>
          <w:lang w:val="fr-CH"/>
        </w:rPr>
      </w:pPr>
      <w:r w:rsidRPr="00593351">
        <w:rPr>
          <w:rFonts w:ascii="Arial" w:hAnsi="Arial" w:cs="Arial"/>
          <w:bCs/>
          <w:lang w:val="fr-CH"/>
        </w:rPr>
        <w:t xml:space="preserve">Andreas Keel, </w:t>
      </w:r>
      <w:r w:rsidR="00593351" w:rsidRPr="00593351">
        <w:rPr>
          <w:rFonts w:ascii="Arial" w:hAnsi="Arial" w:cs="Arial"/>
          <w:bCs/>
          <w:lang w:val="fr-CH"/>
        </w:rPr>
        <w:t xml:space="preserve">directeur d’Energie-bois Suisse et auteur de l’étude de monitoring bois-énergie, tient à préciser </w:t>
      </w:r>
      <w:proofErr w:type="gramStart"/>
      <w:r w:rsidR="00593351" w:rsidRPr="00593351">
        <w:rPr>
          <w:rFonts w:ascii="Arial" w:hAnsi="Arial" w:cs="Arial"/>
          <w:bCs/>
          <w:lang w:val="fr-CH"/>
        </w:rPr>
        <w:t>d’emblée:</w:t>
      </w:r>
      <w:proofErr w:type="gramEnd"/>
      <w:r w:rsidR="00593351" w:rsidRPr="00593351">
        <w:rPr>
          <w:rFonts w:ascii="Arial" w:hAnsi="Arial" w:cs="Arial"/>
          <w:bCs/>
          <w:lang w:val="fr-CH"/>
        </w:rPr>
        <w:t xml:space="preserve"> </w:t>
      </w:r>
      <w:r w:rsidRPr="00593351">
        <w:rPr>
          <w:rFonts w:ascii="Arial" w:hAnsi="Arial" w:cs="Arial"/>
          <w:bCs/>
          <w:lang w:val="fr-CH"/>
        </w:rPr>
        <w:t>«</w:t>
      </w:r>
      <w:r w:rsidR="00593351" w:rsidRPr="00593351">
        <w:rPr>
          <w:rFonts w:ascii="Arial" w:hAnsi="Arial" w:cs="Arial"/>
          <w:bCs/>
          <w:lang w:val="fr-CH"/>
        </w:rPr>
        <w:t xml:space="preserve">En dépit de tous les mauvais augures, </w:t>
      </w:r>
      <w:r w:rsidR="00593351">
        <w:rPr>
          <w:rFonts w:ascii="Arial" w:hAnsi="Arial" w:cs="Arial"/>
          <w:bCs/>
          <w:lang w:val="fr-CH"/>
        </w:rPr>
        <w:t xml:space="preserve">l’approvisionnement en bois-énergie était assuré partout et à tout moment </w:t>
      </w:r>
      <w:r w:rsidR="00916C13">
        <w:rPr>
          <w:rFonts w:ascii="Arial" w:hAnsi="Arial" w:cs="Arial"/>
          <w:bCs/>
          <w:lang w:val="fr-CH"/>
        </w:rPr>
        <w:t>ces trois derniers</w:t>
      </w:r>
      <w:r w:rsidR="00916C13" w:rsidRPr="00916C13">
        <w:rPr>
          <w:rFonts w:ascii="Arial" w:hAnsi="Arial" w:cs="Arial"/>
          <w:bCs/>
          <w:lang w:val="fr-CH"/>
        </w:rPr>
        <w:t xml:space="preserve"> </w:t>
      </w:r>
      <w:r w:rsidR="00916C13">
        <w:rPr>
          <w:rFonts w:ascii="Arial" w:hAnsi="Arial" w:cs="Arial"/>
          <w:bCs/>
          <w:lang w:val="fr-CH"/>
        </w:rPr>
        <w:t>hivers</w:t>
      </w:r>
      <w:r w:rsidR="00916C13">
        <w:rPr>
          <w:rFonts w:ascii="Arial" w:hAnsi="Arial" w:cs="Arial"/>
          <w:bCs/>
          <w:lang w:val="fr-CH"/>
        </w:rPr>
        <w:t>,</w:t>
      </w:r>
      <w:r w:rsidR="00916C13">
        <w:rPr>
          <w:rFonts w:ascii="Arial" w:hAnsi="Arial" w:cs="Arial"/>
          <w:bCs/>
          <w:lang w:val="fr-CH"/>
        </w:rPr>
        <w:t xml:space="preserve"> </w:t>
      </w:r>
      <w:r w:rsidR="00593351">
        <w:rPr>
          <w:rFonts w:ascii="Arial" w:hAnsi="Arial" w:cs="Arial"/>
          <w:bCs/>
          <w:lang w:val="fr-CH"/>
        </w:rPr>
        <w:t xml:space="preserve">sans </w:t>
      </w:r>
      <w:r w:rsidR="00916C13">
        <w:rPr>
          <w:rFonts w:ascii="Arial" w:hAnsi="Arial" w:cs="Arial"/>
          <w:bCs/>
          <w:lang w:val="fr-CH"/>
        </w:rPr>
        <w:t xml:space="preserve">excès de </w:t>
      </w:r>
      <w:r w:rsidR="00593351">
        <w:rPr>
          <w:rFonts w:ascii="Arial" w:hAnsi="Arial" w:cs="Arial"/>
          <w:bCs/>
          <w:lang w:val="fr-CH"/>
        </w:rPr>
        <w:t>prix</w:t>
      </w:r>
      <w:r w:rsidR="000C6734" w:rsidRPr="00593351">
        <w:rPr>
          <w:rFonts w:ascii="Arial" w:hAnsi="Arial" w:cs="Arial"/>
          <w:bCs/>
          <w:lang w:val="fr-CH"/>
        </w:rPr>
        <w:t xml:space="preserve">.» </w:t>
      </w:r>
      <w:r w:rsidR="00593351" w:rsidRPr="00593351">
        <w:rPr>
          <w:rFonts w:ascii="Arial" w:hAnsi="Arial" w:cs="Arial"/>
          <w:bCs/>
          <w:lang w:val="fr-CH"/>
        </w:rPr>
        <w:t xml:space="preserve">Si les prix du bois-énergie ont augmenté, leur hausse est restée nettement </w:t>
      </w:r>
      <w:r w:rsidR="00916C13">
        <w:rPr>
          <w:rFonts w:ascii="Arial" w:hAnsi="Arial" w:cs="Arial"/>
          <w:bCs/>
          <w:lang w:val="fr-CH"/>
        </w:rPr>
        <w:t xml:space="preserve">en-deçà de </w:t>
      </w:r>
      <w:r w:rsidR="00593351">
        <w:rPr>
          <w:rFonts w:ascii="Arial" w:hAnsi="Arial" w:cs="Arial"/>
          <w:bCs/>
          <w:lang w:val="fr-CH"/>
        </w:rPr>
        <w:t>celle des prix du mazout, du gaz et de l’électricité.</w:t>
      </w:r>
      <w:r w:rsidR="000C6734" w:rsidRPr="00593351">
        <w:rPr>
          <w:rFonts w:ascii="Arial" w:hAnsi="Arial" w:cs="Arial"/>
          <w:bCs/>
          <w:lang w:val="fr-CH"/>
        </w:rPr>
        <w:t xml:space="preserve"> </w:t>
      </w:r>
      <w:r w:rsidR="00593351">
        <w:rPr>
          <w:rFonts w:ascii="Arial" w:hAnsi="Arial" w:cs="Arial"/>
          <w:bCs/>
          <w:lang w:val="fr-CH"/>
        </w:rPr>
        <w:t>Les</w:t>
      </w:r>
      <w:r w:rsidR="00593351" w:rsidRPr="006E7549">
        <w:rPr>
          <w:rFonts w:ascii="Arial" w:hAnsi="Arial" w:cs="Arial"/>
          <w:bCs/>
          <w:lang w:val="fr-CH"/>
        </w:rPr>
        <w:t xml:space="preserve"> programmes de soutien </w:t>
      </w:r>
      <w:r w:rsidR="00593351">
        <w:rPr>
          <w:rFonts w:ascii="Arial" w:hAnsi="Arial" w:cs="Arial"/>
          <w:bCs/>
          <w:lang w:val="fr-CH"/>
        </w:rPr>
        <w:t xml:space="preserve">des dernières années, </w:t>
      </w:r>
      <w:r w:rsidR="00916C13">
        <w:rPr>
          <w:rFonts w:ascii="Arial" w:hAnsi="Arial" w:cs="Arial"/>
          <w:bCs/>
          <w:lang w:val="fr-CH"/>
        </w:rPr>
        <w:t>et</w:t>
      </w:r>
      <w:r w:rsidR="00593351">
        <w:rPr>
          <w:rFonts w:ascii="Arial" w:hAnsi="Arial" w:cs="Arial"/>
          <w:bCs/>
          <w:lang w:val="fr-CH"/>
        </w:rPr>
        <w:t>, plus récemment</w:t>
      </w:r>
      <w:r w:rsidR="00593351" w:rsidRPr="006E7549">
        <w:rPr>
          <w:rFonts w:ascii="Arial" w:hAnsi="Arial" w:cs="Arial"/>
          <w:bCs/>
          <w:lang w:val="fr-CH"/>
        </w:rPr>
        <w:t>, la pandémie</w:t>
      </w:r>
      <w:r w:rsidR="00593351">
        <w:rPr>
          <w:rFonts w:ascii="Arial" w:hAnsi="Arial" w:cs="Arial"/>
          <w:bCs/>
          <w:lang w:val="fr-CH"/>
        </w:rPr>
        <w:t xml:space="preserve"> et la guerre en Ukraine, ont </w:t>
      </w:r>
      <w:r w:rsidR="00916C13">
        <w:rPr>
          <w:rFonts w:ascii="Arial" w:hAnsi="Arial" w:cs="Arial"/>
          <w:bCs/>
          <w:lang w:val="fr-CH"/>
        </w:rPr>
        <w:t>stimulé</w:t>
      </w:r>
      <w:r w:rsidR="00593351">
        <w:rPr>
          <w:rFonts w:ascii="Arial" w:hAnsi="Arial" w:cs="Arial"/>
          <w:bCs/>
          <w:lang w:val="fr-CH"/>
        </w:rPr>
        <w:t xml:space="preserve"> la demande en bois-énergie au point où elle </w:t>
      </w:r>
      <w:r w:rsidR="00916C13">
        <w:rPr>
          <w:rFonts w:ascii="Arial" w:hAnsi="Arial" w:cs="Arial"/>
          <w:bCs/>
          <w:lang w:val="fr-CH"/>
        </w:rPr>
        <w:t>a excédé</w:t>
      </w:r>
      <w:r w:rsidR="00593351">
        <w:rPr>
          <w:rFonts w:ascii="Arial" w:hAnsi="Arial" w:cs="Arial"/>
          <w:bCs/>
          <w:lang w:val="fr-CH"/>
        </w:rPr>
        <w:t xml:space="preserve"> </w:t>
      </w:r>
      <w:r w:rsidR="00916C13">
        <w:rPr>
          <w:rFonts w:ascii="Arial" w:hAnsi="Arial" w:cs="Arial"/>
          <w:bCs/>
          <w:lang w:val="fr-CH"/>
        </w:rPr>
        <w:t>l’offre</w:t>
      </w:r>
      <w:r w:rsidR="00593351">
        <w:rPr>
          <w:rFonts w:ascii="Arial" w:hAnsi="Arial" w:cs="Arial"/>
          <w:bCs/>
          <w:lang w:val="fr-CH"/>
        </w:rPr>
        <w:t xml:space="preserve"> </w:t>
      </w:r>
      <w:r w:rsidR="00916C13">
        <w:rPr>
          <w:rFonts w:ascii="Arial" w:hAnsi="Arial" w:cs="Arial"/>
          <w:bCs/>
          <w:lang w:val="fr-CH"/>
        </w:rPr>
        <w:t>dans</w:t>
      </w:r>
      <w:r w:rsidR="00593351">
        <w:rPr>
          <w:rFonts w:ascii="Arial" w:hAnsi="Arial" w:cs="Arial"/>
          <w:bCs/>
          <w:lang w:val="fr-CH"/>
        </w:rPr>
        <w:t xml:space="preserve"> certaines régions.</w:t>
      </w:r>
      <w:r w:rsidR="00F60FFE" w:rsidRPr="00593351">
        <w:rPr>
          <w:rFonts w:ascii="Arial" w:hAnsi="Arial" w:cs="Arial"/>
          <w:bCs/>
          <w:lang w:val="fr-CH"/>
        </w:rPr>
        <w:t xml:space="preserve"> </w:t>
      </w:r>
      <w:r w:rsidR="00593351" w:rsidRPr="00593351">
        <w:rPr>
          <w:rFonts w:ascii="Arial" w:hAnsi="Arial" w:cs="Arial"/>
          <w:bCs/>
          <w:lang w:val="fr-CH"/>
        </w:rPr>
        <w:t>Après des décennies</w:t>
      </w:r>
      <w:r w:rsidR="00593351">
        <w:rPr>
          <w:rFonts w:ascii="Arial" w:hAnsi="Arial" w:cs="Arial"/>
          <w:bCs/>
          <w:lang w:val="fr-CH"/>
        </w:rPr>
        <w:t>, le</w:t>
      </w:r>
      <w:r w:rsidR="00593351" w:rsidRPr="006E7549">
        <w:rPr>
          <w:rFonts w:ascii="Arial" w:hAnsi="Arial" w:cs="Arial"/>
          <w:bCs/>
          <w:lang w:val="fr-CH"/>
        </w:rPr>
        <w:t xml:space="preserve"> marché </w:t>
      </w:r>
      <w:r w:rsidR="00593351">
        <w:rPr>
          <w:rFonts w:ascii="Arial" w:hAnsi="Arial" w:cs="Arial"/>
          <w:bCs/>
          <w:lang w:val="fr-CH"/>
        </w:rPr>
        <w:t>dominé par</w:t>
      </w:r>
      <w:r w:rsidR="00593351" w:rsidRPr="006E7549">
        <w:rPr>
          <w:rFonts w:ascii="Arial" w:hAnsi="Arial" w:cs="Arial"/>
          <w:bCs/>
          <w:lang w:val="fr-CH"/>
        </w:rPr>
        <w:t xml:space="preserve"> </w:t>
      </w:r>
      <w:r w:rsidR="00593351">
        <w:rPr>
          <w:rFonts w:ascii="Arial" w:hAnsi="Arial" w:cs="Arial"/>
          <w:bCs/>
          <w:lang w:val="fr-CH"/>
        </w:rPr>
        <w:t>la demande a virevolté pour se transformer en marché de</w:t>
      </w:r>
      <w:r w:rsidR="00544BA1">
        <w:rPr>
          <w:rFonts w:ascii="Arial" w:hAnsi="Arial" w:cs="Arial"/>
          <w:bCs/>
          <w:lang w:val="fr-CH"/>
        </w:rPr>
        <w:t xml:space="preserve"> l’offre</w:t>
      </w:r>
      <w:r w:rsidR="00F60FFE" w:rsidRPr="00544BA1">
        <w:rPr>
          <w:rFonts w:ascii="Arial" w:hAnsi="Arial" w:cs="Arial"/>
          <w:bCs/>
          <w:lang w:val="fr-CH"/>
        </w:rPr>
        <w:t xml:space="preserve">. </w:t>
      </w:r>
      <w:r w:rsidR="00544BA1" w:rsidRPr="00544BA1">
        <w:rPr>
          <w:rFonts w:ascii="Arial" w:hAnsi="Arial" w:cs="Arial"/>
          <w:bCs/>
          <w:lang w:val="fr-CH"/>
        </w:rPr>
        <w:t>Le bois-énergie est devenu un</w:t>
      </w:r>
      <w:r w:rsidR="00916C13">
        <w:rPr>
          <w:rFonts w:ascii="Arial" w:hAnsi="Arial" w:cs="Arial"/>
          <w:bCs/>
          <w:lang w:val="fr-CH"/>
        </w:rPr>
        <w:t xml:space="preserve"> point sur l’agenda de</w:t>
      </w:r>
      <w:r w:rsidR="00544BA1" w:rsidRPr="00544BA1">
        <w:rPr>
          <w:rFonts w:ascii="Arial" w:hAnsi="Arial" w:cs="Arial"/>
          <w:bCs/>
          <w:lang w:val="fr-CH"/>
        </w:rPr>
        <w:t xml:space="preserve"> l’Approvisionnement économique du </w:t>
      </w:r>
      <w:r w:rsidR="00544BA1">
        <w:rPr>
          <w:rFonts w:ascii="Arial" w:hAnsi="Arial" w:cs="Arial"/>
          <w:bCs/>
          <w:lang w:val="fr-CH"/>
        </w:rPr>
        <w:t>pays.</w:t>
      </w:r>
      <w:r w:rsidR="00B07A05" w:rsidRPr="00544BA1">
        <w:rPr>
          <w:rFonts w:ascii="Arial" w:hAnsi="Arial" w:cs="Arial"/>
          <w:bCs/>
          <w:lang w:val="fr-CH"/>
        </w:rPr>
        <w:t xml:space="preserve"> </w:t>
      </w:r>
      <w:proofErr w:type="gramStart"/>
      <w:r w:rsidR="00376B37" w:rsidRPr="00544BA1">
        <w:rPr>
          <w:rFonts w:ascii="Arial" w:hAnsi="Arial" w:cs="Arial"/>
          <w:bCs/>
          <w:lang w:val="fr-CH"/>
        </w:rPr>
        <w:t>«</w:t>
      </w:r>
      <w:r w:rsidR="00544BA1" w:rsidRPr="00544BA1">
        <w:rPr>
          <w:rFonts w:ascii="Arial" w:hAnsi="Arial" w:cs="Arial"/>
          <w:bCs/>
          <w:lang w:val="fr-CH"/>
        </w:rPr>
        <w:t>Nous</w:t>
      </w:r>
      <w:proofErr w:type="gramEnd"/>
      <w:r w:rsidR="00544BA1" w:rsidRPr="00544BA1">
        <w:rPr>
          <w:rFonts w:ascii="Arial" w:hAnsi="Arial" w:cs="Arial"/>
          <w:bCs/>
          <w:lang w:val="fr-CH"/>
        </w:rPr>
        <w:t xml:space="preserve"> avons discuté </w:t>
      </w:r>
      <w:r w:rsidR="00916C13">
        <w:rPr>
          <w:rFonts w:ascii="Arial" w:hAnsi="Arial" w:cs="Arial"/>
          <w:bCs/>
          <w:lang w:val="fr-CH"/>
        </w:rPr>
        <w:t>la mise en place</w:t>
      </w:r>
      <w:r w:rsidR="00544BA1" w:rsidRPr="00544BA1">
        <w:rPr>
          <w:rFonts w:ascii="Arial" w:hAnsi="Arial" w:cs="Arial"/>
          <w:bCs/>
          <w:lang w:val="fr-CH"/>
        </w:rPr>
        <w:t xml:space="preserve"> de réserves obligatoires pour les pellets, ainsi qu</w:t>
      </w:r>
      <w:r w:rsidR="00544BA1">
        <w:rPr>
          <w:rFonts w:ascii="Arial" w:hAnsi="Arial" w:cs="Arial"/>
          <w:bCs/>
          <w:lang w:val="fr-CH"/>
        </w:rPr>
        <w:t>e la question de la disponibilité régionale des bûches, des plaquettes forestières et de</w:t>
      </w:r>
      <w:r w:rsidR="00916C13">
        <w:rPr>
          <w:rFonts w:ascii="Arial" w:hAnsi="Arial" w:cs="Arial"/>
          <w:bCs/>
          <w:lang w:val="fr-CH"/>
        </w:rPr>
        <w:t>s</w:t>
      </w:r>
      <w:r w:rsidR="00544BA1">
        <w:rPr>
          <w:rFonts w:ascii="Arial" w:hAnsi="Arial" w:cs="Arial"/>
          <w:bCs/>
          <w:lang w:val="fr-CH"/>
        </w:rPr>
        <w:t xml:space="preserve"> granulés. </w:t>
      </w:r>
      <w:r w:rsidR="001D1F63">
        <w:rPr>
          <w:rFonts w:ascii="Arial" w:hAnsi="Arial" w:cs="Arial"/>
          <w:bCs/>
          <w:lang w:val="fr-CH"/>
        </w:rPr>
        <w:t>L</w:t>
      </w:r>
      <w:r w:rsidR="00544BA1" w:rsidRPr="00544BA1">
        <w:rPr>
          <w:rFonts w:ascii="Arial" w:hAnsi="Arial" w:cs="Arial"/>
          <w:bCs/>
          <w:lang w:val="fr-CH"/>
        </w:rPr>
        <w:t xml:space="preserve">e mandat </w:t>
      </w:r>
      <w:r w:rsidR="001D1F63">
        <w:rPr>
          <w:rFonts w:ascii="Arial" w:hAnsi="Arial" w:cs="Arial"/>
          <w:bCs/>
          <w:lang w:val="fr-CH"/>
        </w:rPr>
        <w:t>que nous avons obtenu nous a permis d’</w:t>
      </w:r>
      <w:r w:rsidR="00544BA1" w:rsidRPr="00544BA1">
        <w:rPr>
          <w:rFonts w:ascii="Arial" w:hAnsi="Arial" w:cs="Arial"/>
          <w:bCs/>
          <w:lang w:val="fr-CH"/>
        </w:rPr>
        <w:t xml:space="preserve">établir un rapport 2023 </w:t>
      </w:r>
      <w:r w:rsidR="001D1F63">
        <w:rPr>
          <w:rFonts w:ascii="Arial" w:hAnsi="Arial" w:cs="Arial"/>
          <w:bCs/>
          <w:lang w:val="fr-CH"/>
        </w:rPr>
        <w:t>sur le</w:t>
      </w:r>
      <w:r w:rsidR="00544BA1" w:rsidRPr="00544BA1">
        <w:rPr>
          <w:rFonts w:ascii="Arial" w:hAnsi="Arial" w:cs="Arial"/>
          <w:bCs/>
          <w:lang w:val="fr-CH"/>
        </w:rPr>
        <w:t xml:space="preserve"> monitoring du bois-énergie</w:t>
      </w:r>
      <w:r w:rsidR="001D1F63">
        <w:rPr>
          <w:rFonts w:ascii="Arial" w:hAnsi="Arial" w:cs="Arial"/>
          <w:bCs/>
          <w:lang w:val="fr-CH"/>
        </w:rPr>
        <w:t>,</w:t>
      </w:r>
      <w:r w:rsidR="00544BA1" w:rsidRPr="00544BA1">
        <w:rPr>
          <w:rFonts w:ascii="Arial" w:hAnsi="Arial" w:cs="Arial"/>
          <w:bCs/>
          <w:lang w:val="fr-CH"/>
        </w:rPr>
        <w:t xml:space="preserve"> </w:t>
      </w:r>
      <w:r w:rsidR="001D1F63">
        <w:rPr>
          <w:rFonts w:ascii="Arial" w:hAnsi="Arial" w:cs="Arial"/>
          <w:bCs/>
          <w:lang w:val="fr-CH"/>
        </w:rPr>
        <w:t>de répondre à ces questions et de</w:t>
      </w:r>
      <w:r w:rsidR="00544BA1" w:rsidRPr="00544BA1">
        <w:rPr>
          <w:rFonts w:ascii="Arial" w:hAnsi="Arial" w:cs="Arial"/>
          <w:bCs/>
          <w:lang w:val="fr-CH"/>
        </w:rPr>
        <w:t xml:space="preserve"> créer </w:t>
      </w:r>
      <w:r w:rsidR="001D1F63">
        <w:rPr>
          <w:rFonts w:ascii="Arial" w:hAnsi="Arial" w:cs="Arial"/>
          <w:bCs/>
          <w:lang w:val="fr-CH"/>
        </w:rPr>
        <w:t>l</w:t>
      </w:r>
      <w:r w:rsidR="00544BA1" w:rsidRPr="00544BA1">
        <w:rPr>
          <w:rFonts w:ascii="Arial" w:hAnsi="Arial" w:cs="Arial"/>
          <w:bCs/>
          <w:lang w:val="fr-CH"/>
        </w:rPr>
        <w:t xml:space="preserve">es bases </w:t>
      </w:r>
      <w:r w:rsidR="001D1F63">
        <w:rPr>
          <w:rFonts w:ascii="Arial" w:hAnsi="Arial" w:cs="Arial"/>
          <w:bCs/>
          <w:lang w:val="fr-CH"/>
        </w:rPr>
        <w:t>pour</w:t>
      </w:r>
      <w:r w:rsidR="00544BA1" w:rsidRPr="00544BA1">
        <w:rPr>
          <w:rFonts w:ascii="Arial" w:hAnsi="Arial" w:cs="Arial"/>
          <w:bCs/>
          <w:lang w:val="fr-CH"/>
        </w:rPr>
        <w:t xml:space="preserve"> un développement ordonné du marché au cours des prochaines </w:t>
      </w:r>
      <w:proofErr w:type="gramStart"/>
      <w:r w:rsidR="00544BA1" w:rsidRPr="00544BA1">
        <w:rPr>
          <w:rFonts w:ascii="Arial" w:hAnsi="Arial" w:cs="Arial"/>
          <w:bCs/>
          <w:lang w:val="fr-CH"/>
        </w:rPr>
        <w:t>années</w:t>
      </w:r>
      <w:r w:rsidR="00B07A05" w:rsidRPr="00544BA1">
        <w:rPr>
          <w:rFonts w:ascii="Arial" w:hAnsi="Arial" w:cs="Arial"/>
          <w:bCs/>
          <w:lang w:val="fr-CH"/>
        </w:rPr>
        <w:t>»</w:t>
      </w:r>
      <w:proofErr w:type="gramEnd"/>
      <w:r w:rsidR="00B07A05" w:rsidRPr="00544BA1">
        <w:rPr>
          <w:rFonts w:ascii="Arial" w:hAnsi="Arial" w:cs="Arial"/>
          <w:bCs/>
          <w:lang w:val="fr-CH"/>
        </w:rPr>
        <w:t xml:space="preserve">, </w:t>
      </w:r>
      <w:r w:rsidR="00544BA1">
        <w:rPr>
          <w:rFonts w:ascii="Arial" w:hAnsi="Arial" w:cs="Arial"/>
          <w:bCs/>
          <w:lang w:val="fr-CH"/>
        </w:rPr>
        <w:t>explique</w:t>
      </w:r>
      <w:r w:rsidR="00B07A05" w:rsidRPr="00544BA1">
        <w:rPr>
          <w:rFonts w:ascii="Arial" w:hAnsi="Arial" w:cs="Arial"/>
          <w:bCs/>
          <w:lang w:val="fr-CH"/>
        </w:rPr>
        <w:t xml:space="preserve"> Andreas Keel. </w:t>
      </w:r>
      <w:r w:rsidR="00544BA1" w:rsidRPr="001D1F63">
        <w:rPr>
          <w:rFonts w:ascii="Arial" w:hAnsi="Arial" w:cs="Arial"/>
          <w:bCs/>
          <w:lang w:val="fr-CH"/>
        </w:rPr>
        <w:t xml:space="preserve">Le rapport </w:t>
      </w:r>
      <w:r w:rsidR="001D1F63">
        <w:rPr>
          <w:rFonts w:ascii="Arial" w:hAnsi="Arial" w:cs="Arial"/>
          <w:bCs/>
          <w:lang w:val="fr-CH"/>
        </w:rPr>
        <w:t>est consacré à</w:t>
      </w:r>
      <w:r w:rsidR="00544BA1" w:rsidRPr="001D1F63">
        <w:rPr>
          <w:rFonts w:ascii="Arial" w:hAnsi="Arial" w:cs="Arial"/>
          <w:bCs/>
          <w:lang w:val="fr-CH"/>
        </w:rPr>
        <w:t xml:space="preserve"> trois </w:t>
      </w:r>
      <w:r w:rsidR="001D1F63">
        <w:rPr>
          <w:rFonts w:ascii="Arial" w:hAnsi="Arial" w:cs="Arial"/>
          <w:bCs/>
          <w:lang w:val="fr-CH"/>
        </w:rPr>
        <w:t>groupes</w:t>
      </w:r>
      <w:r w:rsidR="00544BA1" w:rsidRPr="001D1F63">
        <w:rPr>
          <w:rFonts w:ascii="Arial" w:hAnsi="Arial" w:cs="Arial"/>
          <w:bCs/>
          <w:lang w:val="fr-CH"/>
        </w:rPr>
        <w:t xml:space="preserve"> de questions</w:t>
      </w:r>
      <w:r w:rsidR="00B07A05" w:rsidRPr="001D1F63">
        <w:rPr>
          <w:rFonts w:ascii="Arial" w:hAnsi="Arial" w:cs="Arial"/>
          <w:bCs/>
          <w:lang w:val="fr-CH"/>
        </w:rPr>
        <w:t>.</w:t>
      </w:r>
    </w:p>
    <w:p w14:paraId="009D850B" w14:textId="303460E7" w:rsidR="00B07A05" w:rsidRPr="00551FEE" w:rsidRDefault="00551FEE" w:rsidP="00376B37">
      <w:pPr>
        <w:pStyle w:val="Listenabsatz"/>
        <w:numPr>
          <w:ilvl w:val="0"/>
          <w:numId w:val="10"/>
        </w:numPr>
        <w:spacing w:after="0"/>
        <w:rPr>
          <w:rFonts w:ascii="Arial" w:hAnsi="Arial" w:cs="Arial"/>
          <w:bCs/>
          <w:lang w:val="fr-CH"/>
        </w:rPr>
      </w:pPr>
      <w:r w:rsidRPr="00551FEE">
        <w:rPr>
          <w:rFonts w:ascii="Arial" w:hAnsi="Arial" w:cs="Arial"/>
          <w:lang w:val="fr-CH"/>
        </w:rPr>
        <w:lastRenderedPageBreak/>
        <w:t>Quelles quantités de bois-énergie utilisons-nous aujourd’hui, de quelles sources proviennent-elles et quel</w:t>
      </w:r>
      <w:r>
        <w:rPr>
          <w:rFonts w:ascii="Arial" w:hAnsi="Arial" w:cs="Arial"/>
          <w:lang w:val="fr-CH"/>
        </w:rPr>
        <w:t xml:space="preserve">s sont les assortiments </w:t>
      </w:r>
      <w:proofErr w:type="gramStart"/>
      <w:r w:rsidR="001D1F63">
        <w:rPr>
          <w:rFonts w:ascii="Arial" w:hAnsi="Arial" w:cs="Arial"/>
          <w:lang w:val="fr-CH"/>
        </w:rPr>
        <w:t>exploités</w:t>
      </w:r>
      <w:r w:rsidRPr="00551FEE">
        <w:rPr>
          <w:rFonts w:ascii="Arial" w:hAnsi="Arial" w:cs="Arial"/>
          <w:lang w:val="fr-CH"/>
        </w:rPr>
        <w:t>?</w:t>
      </w:r>
      <w:proofErr w:type="gramEnd"/>
      <w:r>
        <w:rPr>
          <w:rFonts w:ascii="Arial" w:hAnsi="Arial" w:cs="Arial"/>
          <w:lang w:val="fr-CH"/>
        </w:rPr>
        <w:t xml:space="preserve"> </w:t>
      </w:r>
      <w:r w:rsidRPr="00551FEE">
        <w:rPr>
          <w:rFonts w:ascii="Arial" w:hAnsi="Arial" w:cs="Arial"/>
          <w:lang w:val="fr-CH"/>
        </w:rPr>
        <w:t>Les sources sont les forêts, l’aménagement paysager, l’industrie de trans</w:t>
      </w:r>
      <w:r>
        <w:rPr>
          <w:rFonts w:ascii="Arial" w:hAnsi="Arial" w:cs="Arial"/>
          <w:lang w:val="fr-CH"/>
        </w:rPr>
        <w:t xml:space="preserve">formation du bois et le bois usagé. </w:t>
      </w:r>
      <w:r w:rsidRPr="00551FEE">
        <w:rPr>
          <w:rFonts w:ascii="Arial" w:hAnsi="Arial" w:cs="Arial"/>
          <w:lang w:val="fr-CH"/>
        </w:rPr>
        <w:t xml:space="preserve">Les assortiments </w:t>
      </w:r>
      <w:r w:rsidR="001D1F63">
        <w:rPr>
          <w:rFonts w:ascii="Arial" w:hAnsi="Arial" w:cs="Arial"/>
          <w:lang w:val="fr-CH"/>
        </w:rPr>
        <w:t>incluent</w:t>
      </w:r>
      <w:r w:rsidRPr="00551FEE">
        <w:rPr>
          <w:rFonts w:ascii="Arial" w:hAnsi="Arial" w:cs="Arial"/>
          <w:lang w:val="fr-CH"/>
        </w:rPr>
        <w:t xml:space="preserve"> le bois en bûches, les plaquettes for</w:t>
      </w:r>
      <w:r>
        <w:rPr>
          <w:rFonts w:ascii="Arial" w:hAnsi="Arial" w:cs="Arial"/>
          <w:lang w:val="fr-CH"/>
        </w:rPr>
        <w:t>estières et les pellets.</w:t>
      </w:r>
    </w:p>
    <w:p w14:paraId="42445A81" w14:textId="10934877" w:rsidR="00B07A05" w:rsidRPr="00551FEE" w:rsidRDefault="00551FEE" w:rsidP="00551FEE">
      <w:pPr>
        <w:pStyle w:val="Listenabsatz"/>
        <w:numPr>
          <w:ilvl w:val="0"/>
          <w:numId w:val="10"/>
        </w:num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>C</w:t>
      </w:r>
      <w:r w:rsidRPr="00551FEE">
        <w:rPr>
          <w:rFonts w:ascii="Arial" w:hAnsi="Arial" w:cs="Arial"/>
          <w:lang w:val="fr-CH"/>
        </w:rPr>
        <w:t>ombien de bois-énergie supplémentaire pourrions</w:t>
      </w:r>
      <w:r w:rsidR="001D1F63">
        <w:rPr>
          <w:rFonts w:ascii="Arial" w:hAnsi="Arial" w:cs="Arial"/>
          <w:lang w:val="fr-CH"/>
        </w:rPr>
        <w:t>-nous</w:t>
      </w:r>
      <w:r w:rsidRPr="00551FEE">
        <w:rPr>
          <w:rFonts w:ascii="Arial" w:hAnsi="Arial" w:cs="Arial"/>
          <w:lang w:val="fr-CH"/>
        </w:rPr>
        <w:t xml:space="preserve"> utiliser sans concurrencer les assortiments de qualité supérieure, sans surexploiter la forêt et sans</w:t>
      </w:r>
      <w:r w:rsidR="001D1F63">
        <w:rPr>
          <w:rFonts w:ascii="Arial" w:hAnsi="Arial" w:cs="Arial"/>
          <w:lang w:val="fr-CH"/>
        </w:rPr>
        <w:t xml:space="preserve"> devoir importer des quantités </w:t>
      </w:r>
      <w:proofErr w:type="gramStart"/>
      <w:r w:rsidR="001D1F63">
        <w:rPr>
          <w:rFonts w:ascii="Arial" w:hAnsi="Arial" w:cs="Arial"/>
          <w:lang w:val="fr-CH"/>
        </w:rPr>
        <w:t>considérables?</w:t>
      </w:r>
      <w:proofErr w:type="gramEnd"/>
    </w:p>
    <w:p w14:paraId="2E498256" w14:textId="41A0CBD8" w:rsidR="00B07A05" w:rsidRPr="00551FEE" w:rsidRDefault="00551FEE" w:rsidP="00376B37">
      <w:pPr>
        <w:pStyle w:val="Listenabsatz"/>
        <w:numPr>
          <w:ilvl w:val="0"/>
          <w:numId w:val="10"/>
        </w:numPr>
        <w:spacing w:after="0"/>
        <w:rPr>
          <w:rFonts w:ascii="Arial" w:hAnsi="Arial" w:cs="Arial"/>
          <w:bCs/>
          <w:lang w:val="fr-CH"/>
        </w:rPr>
      </w:pPr>
      <w:r w:rsidRPr="00551FEE">
        <w:rPr>
          <w:rFonts w:ascii="Arial" w:hAnsi="Arial" w:cs="Arial"/>
          <w:bCs/>
          <w:lang w:val="fr-CH"/>
        </w:rPr>
        <w:t>Combien de bois sera requis pour approvisionner les projets concrets en planification et les idée</w:t>
      </w:r>
      <w:r>
        <w:rPr>
          <w:rFonts w:ascii="Arial" w:hAnsi="Arial" w:cs="Arial"/>
          <w:bCs/>
          <w:lang w:val="fr-CH"/>
        </w:rPr>
        <w:t xml:space="preserve">s de projets </w:t>
      </w:r>
      <w:proofErr w:type="gramStart"/>
      <w:r w:rsidR="001D1F63">
        <w:rPr>
          <w:rFonts w:ascii="Arial" w:hAnsi="Arial" w:cs="Arial"/>
          <w:bCs/>
          <w:lang w:val="fr-CH"/>
        </w:rPr>
        <w:t>connu</w:t>
      </w:r>
      <w:r w:rsidR="009D3C24">
        <w:rPr>
          <w:rFonts w:ascii="Arial" w:hAnsi="Arial" w:cs="Arial"/>
          <w:bCs/>
          <w:lang w:val="fr-CH"/>
        </w:rPr>
        <w:t>e</w:t>
      </w:r>
      <w:r w:rsidR="001D1F63">
        <w:rPr>
          <w:rFonts w:ascii="Arial" w:hAnsi="Arial" w:cs="Arial"/>
          <w:bCs/>
          <w:lang w:val="fr-CH"/>
        </w:rPr>
        <w:t>s</w:t>
      </w:r>
      <w:r w:rsidR="00D016F9" w:rsidRPr="00551FEE">
        <w:rPr>
          <w:rFonts w:ascii="Arial" w:hAnsi="Arial" w:cs="Arial"/>
          <w:bCs/>
          <w:lang w:val="fr-CH"/>
        </w:rPr>
        <w:t>?</w:t>
      </w:r>
      <w:proofErr w:type="gramEnd"/>
      <w:r w:rsidR="001D40AF" w:rsidRPr="00551FEE">
        <w:rPr>
          <w:rFonts w:ascii="Arial" w:hAnsi="Arial" w:cs="Arial"/>
          <w:bCs/>
          <w:lang w:val="fr-CH"/>
        </w:rPr>
        <w:t xml:space="preserve"> </w:t>
      </w:r>
    </w:p>
    <w:p w14:paraId="0C9840C8" w14:textId="77777777" w:rsidR="00F60FFE" w:rsidRPr="00551FEE" w:rsidRDefault="00F60FFE" w:rsidP="00FB7C48">
      <w:pPr>
        <w:spacing w:after="0"/>
        <w:rPr>
          <w:rFonts w:ascii="Arial" w:hAnsi="Arial" w:cs="Arial"/>
          <w:bCs/>
          <w:lang w:val="fr-CH"/>
        </w:rPr>
      </w:pPr>
    </w:p>
    <w:p w14:paraId="06605CA4" w14:textId="7ED3FDC5" w:rsidR="00DA38C4" w:rsidRPr="004E2512" w:rsidRDefault="004E2512" w:rsidP="00D016F9">
      <w:pPr>
        <w:spacing w:after="0"/>
        <w:rPr>
          <w:rFonts w:ascii="Arial" w:hAnsi="Arial" w:cs="Arial"/>
          <w:lang w:val="fr-CH"/>
        </w:rPr>
      </w:pPr>
      <w:r w:rsidRPr="004E2512">
        <w:rPr>
          <w:rFonts w:ascii="Arial" w:hAnsi="Arial" w:cs="Arial"/>
          <w:bCs/>
          <w:lang w:val="fr-CH"/>
        </w:rPr>
        <w:t>Le m</w:t>
      </w:r>
      <w:r w:rsidR="00376B37" w:rsidRPr="004E2512">
        <w:rPr>
          <w:rFonts w:ascii="Arial" w:hAnsi="Arial" w:cs="Arial"/>
          <w:bCs/>
          <w:lang w:val="fr-CH"/>
        </w:rPr>
        <w:t xml:space="preserve">onitoring </w:t>
      </w:r>
      <w:r w:rsidRPr="004E2512">
        <w:rPr>
          <w:rFonts w:ascii="Arial" w:hAnsi="Arial" w:cs="Arial"/>
          <w:bCs/>
          <w:lang w:val="fr-CH"/>
        </w:rPr>
        <w:t>bois-énergie</w:t>
      </w:r>
      <w:r w:rsidR="00376B37" w:rsidRPr="004E2512">
        <w:rPr>
          <w:rFonts w:ascii="Arial" w:hAnsi="Arial" w:cs="Arial"/>
          <w:bCs/>
          <w:lang w:val="fr-CH"/>
        </w:rPr>
        <w:t xml:space="preserve"> 2023</w:t>
      </w:r>
      <w:r w:rsidR="00D016F9" w:rsidRPr="004E2512">
        <w:rPr>
          <w:rFonts w:ascii="Arial" w:hAnsi="Arial" w:cs="Arial"/>
          <w:bCs/>
          <w:lang w:val="fr-CH"/>
        </w:rPr>
        <w:t xml:space="preserve"> </w:t>
      </w:r>
      <w:r w:rsidRPr="004E2512">
        <w:rPr>
          <w:rFonts w:ascii="Arial" w:hAnsi="Arial" w:cs="Arial"/>
          <w:bCs/>
          <w:lang w:val="fr-CH"/>
        </w:rPr>
        <w:t>met également en lumière des facteurs tels que les conditions climatiques, énergé</w:t>
      </w:r>
      <w:r>
        <w:rPr>
          <w:rFonts w:ascii="Arial" w:hAnsi="Arial" w:cs="Arial"/>
          <w:bCs/>
          <w:lang w:val="fr-CH"/>
        </w:rPr>
        <w:t>tiques, politiques et économiques</w:t>
      </w:r>
      <w:r w:rsidR="001D1F63">
        <w:rPr>
          <w:rFonts w:ascii="Arial" w:hAnsi="Arial" w:cs="Arial"/>
          <w:bCs/>
          <w:lang w:val="fr-CH"/>
        </w:rPr>
        <w:t>, qui</w:t>
      </w:r>
      <w:r w:rsidRPr="004E2512">
        <w:rPr>
          <w:rFonts w:ascii="Arial" w:hAnsi="Arial" w:cs="Arial"/>
          <w:bCs/>
          <w:lang w:val="fr-CH"/>
        </w:rPr>
        <w:t xml:space="preserve"> </w:t>
      </w:r>
      <w:r w:rsidR="001D1F63">
        <w:rPr>
          <w:rFonts w:ascii="Arial" w:hAnsi="Arial" w:cs="Arial"/>
          <w:bCs/>
          <w:lang w:val="fr-CH"/>
        </w:rPr>
        <w:t>influent</w:t>
      </w:r>
      <w:r w:rsidRPr="004E2512">
        <w:rPr>
          <w:rFonts w:ascii="Arial" w:hAnsi="Arial" w:cs="Arial"/>
          <w:bCs/>
          <w:lang w:val="fr-CH"/>
        </w:rPr>
        <w:t xml:space="preserve"> sur le prix et, par</w:t>
      </w:r>
      <w:r>
        <w:rPr>
          <w:rFonts w:ascii="Arial" w:hAnsi="Arial" w:cs="Arial"/>
          <w:bCs/>
          <w:lang w:val="fr-CH"/>
        </w:rPr>
        <w:t>-</w:t>
      </w:r>
      <w:r w:rsidRPr="004E2512">
        <w:rPr>
          <w:rFonts w:ascii="Arial" w:hAnsi="Arial" w:cs="Arial"/>
          <w:bCs/>
          <w:lang w:val="fr-CH"/>
        </w:rPr>
        <w:t>là, sur les volumes et assortiments de</w:t>
      </w:r>
      <w:r>
        <w:rPr>
          <w:rFonts w:ascii="Arial" w:hAnsi="Arial" w:cs="Arial"/>
          <w:bCs/>
          <w:lang w:val="fr-CH"/>
        </w:rPr>
        <w:t xml:space="preserve"> bois mis à disposition</w:t>
      </w:r>
      <w:r w:rsidR="00D016F9" w:rsidRPr="004E2512">
        <w:rPr>
          <w:rFonts w:ascii="Arial" w:hAnsi="Arial" w:cs="Arial"/>
          <w:lang w:val="fr-CH"/>
        </w:rPr>
        <w:t xml:space="preserve">. </w:t>
      </w:r>
    </w:p>
    <w:p w14:paraId="48FFFA09" w14:textId="77777777" w:rsidR="00DA38C4" w:rsidRPr="004E2512" w:rsidRDefault="00DA38C4" w:rsidP="00D016F9">
      <w:pPr>
        <w:spacing w:after="0"/>
        <w:rPr>
          <w:rFonts w:ascii="Arial" w:hAnsi="Arial" w:cs="Arial"/>
          <w:lang w:val="fr-CH"/>
        </w:rPr>
      </w:pPr>
    </w:p>
    <w:p w14:paraId="5C8F9DE5" w14:textId="42A25E20" w:rsidR="00DA38C4" w:rsidRPr="004E2512" w:rsidRDefault="004E2512" w:rsidP="00D016F9">
      <w:pPr>
        <w:spacing w:after="0"/>
        <w:rPr>
          <w:rFonts w:ascii="Arial" w:hAnsi="Arial" w:cs="Arial"/>
          <w:b/>
          <w:bCs/>
          <w:lang w:val="fr-CH"/>
        </w:rPr>
      </w:pPr>
      <w:r w:rsidRPr="004E2512">
        <w:rPr>
          <w:rFonts w:ascii="Arial" w:hAnsi="Arial" w:cs="Arial"/>
          <w:b/>
          <w:bCs/>
          <w:lang w:val="fr-CH"/>
        </w:rPr>
        <w:t>De grandes différen</w:t>
      </w:r>
      <w:r w:rsidR="001F5110">
        <w:rPr>
          <w:rFonts w:ascii="Arial" w:hAnsi="Arial" w:cs="Arial"/>
          <w:b/>
          <w:bCs/>
          <w:lang w:val="fr-CH"/>
        </w:rPr>
        <w:t>c</w:t>
      </w:r>
      <w:r w:rsidRPr="004E2512">
        <w:rPr>
          <w:rFonts w:ascii="Arial" w:hAnsi="Arial" w:cs="Arial"/>
          <w:b/>
          <w:bCs/>
          <w:lang w:val="fr-CH"/>
        </w:rPr>
        <w:t>es entre les régions suisses</w:t>
      </w:r>
    </w:p>
    <w:p w14:paraId="552946F4" w14:textId="77777777" w:rsidR="00DA38C4" w:rsidRPr="004E2512" w:rsidRDefault="00DA38C4" w:rsidP="00D016F9">
      <w:pPr>
        <w:spacing w:after="0"/>
        <w:rPr>
          <w:rFonts w:ascii="Arial" w:hAnsi="Arial" w:cs="Arial"/>
          <w:lang w:val="fr-CH"/>
        </w:rPr>
      </w:pPr>
    </w:p>
    <w:p w14:paraId="2CAF6E77" w14:textId="034C4323" w:rsidR="00555FEF" w:rsidRPr="00153671" w:rsidRDefault="004E2512" w:rsidP="00622A76">
      <w:pPr>
        <w:spacing w:after="0"/>
        <w:rPr>
          <w:rFonts w:ascii="Arial" w:hAnsi="Arial" w:cs="Arial"/>
          <w:bCs/>
          <w:lang w:val="fr-CH"/>
        </w:rPr>
      </w:pPr>
      <w:r w:rsidRPr="004E2512">
        <w:rPr>
          <w:rFonts w:ascii="Arial" w:hAnsi="Arial" w:cs="Arial"/>
          <w:bCs/>
          <w:lang w:val="fr-CH"/>
        </w:rPr>
        <w:t>L’étude de m</w:t>
      </w:r>
      <w:r w:rsidR="00F93A97" w:rsidRPr="004E2512">
        <w:rPr>
          <w:rFonts w:ascii="Arial" w:hAnsi="Arial" w:cs="Arial"/>
          <w:bCs/>
          <w:lang w:val="fr-CH"/>
        </w:rPr>
        <w:t>onitoring</w:t>
      </w:r>
      <w:r w:rsidRPr="004E2512">
        <w:rPr>
          <w:rFonts w:ascii="Arial" w:hAnsi="Arial" w:cs="Arial"/>
          <w:bCs/>
          <w:lang w:val="fr-CH"/>
        </w:rPr>
        <w:t xml:space="preserve"> fournit des chiffres détaillés </w:t>
      </w:r>
      <w:r w:rsidR="001D1F63">
        <w:rPr>
          <w:rFonts w:ascii="Arial" w:hAnsi="Arial" w:cs="Arial"/>
          <w:bCs/>
          <w:lang w:val="fr-CH"/>
        </w:rPr>
        <w:t xml:space="preserve">pour </w:t>
      </w:r>
      <w:r w:rsidRPr="004E2512">
        <w:rPr>
          <w:rFonts w:ascii="Arial" w:hAnsi="Arial" w:cs="Arial"/>
          <w:bCs/>
          <w:lang w:val="fr-CH"/>
        </w:rPr>
        <w:t>tous</w:t>
      </w:r>
      <w:r>
        <w:rPr>
          <w:rFonts w:ascii="Arial" w:hAnsi="Arial" w:cs="Arial"/>
          <w:bCs/>
          <w:lang w:val="fr-CH"/>
        </w:rPr>
        <w:t xml:space="preserve"> les cantons. </w:t>
      </w:r>
      <w:r w:rsidR="001D1F63">
        <w:rPr>
          <w:rFonts w:ascii="Arial" w:hAnsi="Arial" w:cs="Arial"/>
          <w:bCs/>
          <w:lang w:val="fr-CH"/>
        </w:rPr>
        <w:t>On</w:t>
      </w:r>
      <w:r w:rsidRPr="004E2512">
        <w:rPr>
          <w:rFonts w:ascii="Arial" w:hAnsi="Arial" w:cs="Arial"/>
          <w:bCs/>
          <w:lang w:val="fr-CH"/>
        </w:rPr>
        <w:t xml:space="preserve"> co</w:t>
      </w:r>
      <w:r>
        <w:rPr>
          <w:rFonts w:ascii="Arial" w:hAnsi="Arial" w:cs="Arial"/>
          <w:bCs/>
          <w:lang w:val="fr-CH"/>
        </w:rPr>
        <w:t>n</w:t>
      </w:r>
      <w:r w:rsidRPr="004E2512">
        <w:rPr>
          <w:rFonts w:ascii="Arial" w:hAnsi="Arial" w:cs="Arial"/>
          <w:bCs/>
          <w:lang w:val="fr-CH"/>
        </w:rPr>
        <w:t xml:space="preserve">state des différences </w:t>
      </w:r>
      <w:proofErr w:type="gramStart"/>
      <w:r>
        <w:rPr>
          <w:rFonts w:ascii="Arial" w:hAnsi="Arial" w:cs="Arial"/>
          <w:bCs/>
          <w:lang w:val="fr-CH"/>
        </w:rPr>
        <w:t>notables</w:t>
      </w:r>
      <w:r w:rsidR="00622A76" w:rsidRPr="004E2512">
        <w:rPr>
          <w:rFonts w:ascii="Arial" w:hAnsi="Arial" w:cs="Arial"/>
          <w:bCs/>
          <w:lang w:val="fr-CH"/>
        </w:rPr>
        <w:t>:</w:t>
      </w:r>
      <w:proofErr w:type="gramEnd"/>
      <w:r w:rsidR="00F93A97" w:rsidRPr="004E2512">
        <w:rPr>
          <w:rFonts w:ascii="Arial" w:hAnsi="Arial" w:cs="Arial"/>
          <w:bCs/>
          <w:lang w:val="fr-CH"/>
        </w:rPr>
        <w:t xml:space="preserve"> </w:t>
      </w:r>
      <w:r w:rsidRPr="004E2512">
        <w:rPr>
          <w:rFonts w:ascii="Arial" w:hAnsi="Arial" w:cs="Arial"/>
          <w:bCs/>
          <w:lang w:val="fr-CH"/>
        </w:rPr>
        <w:t>dans certains c</w:t>
      </w:r>
      <w:r>
        <w:rPr>
          <w:rFonts w:ascii="Arial" w:hAnsi="Arial" w:cs="Arial"/>
          <w:bCs/>
          <w:lang w:val="fr-CH"/>
        </w:rPr>
        <w:t xml:space="preserve">antons, la consommation dépasse d’ores et déjà le potentiel disponible. </w:t>
      </w:r>
      <w:r w:rsidRPr="00916C13">
        <w:rPr>
          <w:rFonts w:ascii="Arial" w:hAnsi="Arial" w:cs="Arial"/>
          <w:bCs/>
          <w:lang w:val="fr-CH"/>
        </w:rPr>
        <w:t xml:space="preserve">D’autres possèdent encore </w:t>
      </w:r>
      <w:r w:rsidR="001F5110" w:rsidRPr="00916C13">
        <w:rPr>
          <w:rFonts w:ascii="Arial" w:hAnsi="Arial" w:cs="Arial"/>
          <w:bCs/>
          <w:lang w:val="fr-CH"/>
        </w:rPr>
        <w:t>une bonne</w:t>
      </w:r>
      <w:r w:rsidRPr="00916C13">
        <w:rPr>
          <w:rFonts w:ascii="Arial" w:hAnsi="Arial" w:cs="Arial"/>
          <w:bCs/>
          <w:lang w:val="fr-CH"/>
        </w:rPr>
        <w:t xml:space="preserve"> marge de manœuvre</w:t>
      </w:r>
      <w:r w:rsidR="00F93A97" w:rsidRPr="00916C13">
        <w:rPr>
          <w:rFonts w:ascii="Arial" w:hAnsi="Arial" w:cs="Arial"/>
          <w:bCs/>
          <w:lang w:val="fr-CH"/>
        </w:rPr>
        <w:t xml:space="preserve">. </w:t>
      </w:r>
      <w:r w:rsidRPr="004E2512">
        <w:rPr>
          <w:rFonts w:ascii="Arial" w:hAnsi="Arial" w:cs="Arial"/>
          <w:bCs/>
          <w:lang w:val="fr-CH"/>
        </w:rPr>
        <w:t>Ce fait devrait se répercuter sur la répartition et l’envergure des nouveaux projets au bois-énergie. En effet, il paraît peu utile de construire de nouvelles installations dans</w:t>
      </w:r>
      <w:r>
        <w:rPr>
          <w:rFonts w:ascii="Arial" w:hAnsi="Arial" w:cs="Arial"/>
          <w:bCs/>
          <w:lang w:val="fr-CH"/>
        </w:rPr>
        <w:t xml:space="preserve"> les régions qui exploitent davantage de bois-énergie qu’elles n’en disposent.</w:t>
      </w:r>
      <w:r w:rsidR="00B944C9" w:rsidRPr="004E2512">
        <w:rPr>
          <w:rFonts w:ascii="Arial" w:hAnsi="Arial" w:cs="Arial"/>
          <w:bCs/>
          <w:lang w:val="fr-CH"/>
        </w:rPr>
        <w:t xml:space="preserve"> </w:t>
      </w:r>
      <w:r w:rsidR="001F5110" w:rsidRPr="001F5110">
        <w:rPr>
          <w:rFonts w:ascii="Arial" w:hAnsi="Arial" w:cs="Arial"/>
          <w:bCs/>
          <w:lang w:val="fr-CH"/>
        </w:rPr>
        <w:t>Une stratégie intelligente permet</w:t>
      </w:r>
      <w:r w:rsidR="001D1F63">
        <w:rPr>
          <w:rFonts w:ascii="Arial" w:hAnsi="Arial" w:cs="Arial"/>
          <w:bCs/>
          <w:lang w:val="fr-CH"/>
        </w:rPr>
        <w:t>tra</w:t>
      </w:r>
      <w:r w:rsidR="001F5110" w:rsidRPr="001F5110">
        <w:rPr>
          <w:rFonts w:ascii="Arial" w:hAnsi="Arial" w:cs="Arial"/>
          <w:bCs/>
          <w:lang w:val="fr-CH"/>
        </w:rPr>
        <w:t xml:space="preserve"> d</w:t>
      </w:r>
      <w:r w:rsidR="001D1F63">
        <w:rPr>
          <w:rFonts w:ascii="Arial" w:hAnsi="Arial" w:cs="Arial"/>
          <w:bCs/>
          <w:lang w:val="fr-CH"/>
        </w:rPr>
        <w:t>’</w:t>
      </w:r>
      <w:r w:rsidR="001F5110" w:rsidRPr="001F5110">
        <w:rPr>
          <w:rFonts w:ascii="Arial" w:hAnsi="Arial" w:cs="Arial"/>
          <w:bCs/>
          <w:lang w:val="fr-CH"/>
        </w:rPr>
        <w:t>éviter les longs transports et les pénuries dans les situations extrêmes</w:t>
      </w:r>
      <w:r w:rsidR="00B944C9" w:rsidRPr="001F5110">
        <w:rPr>
          <w:rFonts w:ascii="Arial" w:hAnsi="Arial" w:cs="Arial"/>
          <w:bCs/>
          <w:lang w:val="fr-CH"/>
        </w:rPr>
        <w:t xml:space="preserve">. </w:t>
      </w:r>
      <w:proofErr w:type="gramStart"/>
      <w:r w:rsidR="00B944C9" w:rsidRPr="00153671">
        <w:rPr>
          <w:rFonts w:ascii="Arial" w:hAnsi="Arial" w:cs="Arial"/>
          <w:bCs/>
          <w:lang w:val="fr-CH"/>
        </w:rPr>
        <w:t>«</w:t>
      </w:r>
      <w:r w:rsidR="00153671" w:rsidRPr="00153671">
        <w:rPr>
          <w:rFonts w:ascii="Arial" w:hAnsi="Arial" w:cs="Arial"/>
          <w:bCs/>
          <w:lang w:val="fr-CH"/>
        </w:rPr>
        <w:t>Nous</w:t>
      </w:r>
      <w:proofErr w:type="gramEnd"/>
      <w:r w:rsidR="00153671" w:rsidRPr="00153671">
        <w:rPr>
          <w:rFonts w:ascii="Arial" w:hAnsi="Arial" w:cs="Arial"/>
          <w:bCs/>
          <w:lang w:val="fr-CH"/>
        </w:rPr>
        <w:t xml:space="preserve"> devons nous attendre à ne plus pouvoir compenser une pénurie éventuelle tout simplement en important du bois</w:t>
      </w:r>
      <w:r w:rsidR="00153671">
        <w:rPr>
          <w:rFonts w:ascii="Arial" w:hAnsi="Arial" w:cs="Arial"/>
          <w:bCs/>
          <w:lang w:val="fr-CH"/>
        </w:rPr>
        <w:t xml:space="preserve"> de l’étranger, </w:t>
      </w:r>
      <w:r w:rsidR="00153671" w:rsidRPr="00153671">
        <w:rPr>
          <w:rFonts w:ascii="Arial" w:hAnsi="Arial" w:cs="Arial"/>
          <w:bCs/>
          <w:lang w:val="fr-CH"/>
        </w:rPr>
        <w:t>car</w:t>
      </w:r>
      <w:r w:rsidR="00153671">
        <w:rPr>
          <w:rFonts w:ascii="Arial" w:hAnsi="Arial" w:cs="Arial"/>
          <w:bCs/>
          <w:lang w:val="fr-CH"/>
        </w:rPr>
        <w:t>, dans le cadre de la transition énergétique,</w:t>
      </w:r>
      <w:r w:rsidR="00153671" w:rsidRPr="00153671">
        <w:rPr>
          <w:rFonts w:ascii="Arial" w:hAnsi="Arial" w:cs="Arial"/>
          <w:bCs/>
          <w:lang w:val="fr-CH"/>
        </w:rPr>
        <w:t xml:space="preserve"> </w:t>
      </w:r>
      <w:r w:rsidR="00153671">
        <w:rPr>
          <w:rFonts w:ascii="Arial" w:hAnsi="Arial" w:cs="Arial"/>
          <w:bCs/>
          <w:lang w:val="fr-CH"/>
        </w:rPr>
        <w:t>les autres</w:t>
      </w:r>
      <w:r w:rsidR="00153671" w:rsidRPr="00153671">
        <w:rPr>
          <w:rFonts w:ascii="Arial" w:hAnsi="Arial" w:cs="Arial"/>
          <w:bCs/>
          <w:lang w:val="fr-CH"/>
        </w:rPr>
        <w:t xml:space="preserve"> pays vont avoir eux aussi besoin de leur bois</w:t>
      </w:r>
      <w:r w:rsidR="00B944C9" w:rsidRPr="00153671">
        <w:rPr>
          <w:rFonts w:ascii="Arial" w:hAnsi="Arial" w:cs="Arial"/>
          <w:bCs/>
          <w:lang w:val="fr-CH"/>
        </w:rPr>
        <w:t xml:space="preserve">», </w:t>
      </w:r>
      <w:r w:rsidR="00153671">
        <w:rPr>
          <w:rFonts w:ascii="Arial" w:hAnsi="Arial" w:cs="Arial"/>
          <w:bCs/>
          <w:lang w:val="fr-CH"/>
        </w:rPr>
        <w:t>observe</w:t>
      </w:r>
      <w:r w:rsidR="00B944C9" w:rsidRPr="00153671">
        <w:rPr>
          <w:rFonts w:ascii="Arial" w:hAnsi="Arial" w:cs="Arial"/>
          <w:bCs/>
          <w:lang w:val="fr-CH"/>
        </w:rPr>
        <w:t xml:space="preserve"> Andreas Keel.</w:t>
      </w:r>
      <w:r w:rsidR="00BA4A85" w:rsidRPr="00153671">
        <w:rPr>
          <w:rFonts w:ascii="Arial" w:hAnsi="Arial" w:cs="Arial"/>
          <w:bCs/>
          <w:lang w:val="fr-CH"/>
        </w:rPr>
        <w:t xml:space="preserve"> </w:t>
      </w:r>
      <w:r w:rsidR="00153671" w:rsidRPr="00153671">
        <w:rPr>
          <w:rFonts w:ascii="Arial" w:hAnsi="Arial" w:cs="Arial"/>
          <w:bCs/>
          <w:lang w:val="fr-CH"/>
        </w:rPr>
        <w:t>Pour toute la Suisse, la consommation et le potentiel des assortiments bois</w:t>
      </w:r>
      <w:r w:rsidR="00153671">
        <w:rPr>
          <w:rFonts w:ascii="Arial" w:hAnsi="Arial" w:cs="Arial"/>
          <w:bCs/>
          <w:lang w:val="fr-CH"/>
        </w:rPr>
        <w:t xml:space="preserve"> se présentent comme </w:t>
      </w:r>
      <w:proofErr w:type="gramStart"/>
      <w:r w:rsidR="00153671">
        <w:rPr>
          <w:rFonts w:ascii="Arial" w:hAnsi="Arial" w:cs="Arial"/>
          <w:bCs/>
          <w:lang w:val="fr-CH"/>
        </w:rPr>
        <w:t>suit</w:t>
      </w:r>
      <w:r w:rsidR="00BA4A85" w:rsidRPr="00153671">
        <w:rPr>
          <w:rFonts w:ascii="Arial" w:hAnsi="Arial" w:cs="Arial"/>
          <w:bCs/>
          <w:lang w:val="fr-CH"/>
        </w:rPr>
        <w:t>:</w:t>
      </w:r>
      <w:proofErr w:type="gramEnd"/>
    </w:p>
    <w:p w14:paraId="206CCA5A" w14:textId="77777777" w:rsidR="00622A76" w:rsidRPr="00153671" w:rsidRDefault="00622A76" w:rsidP="00622A76">
      <w:pPr>
        <w:spacing w:after="0"/>
        <w:rPr>
          <w:rFonts w:ascii="Arial" w:hAnsi="Arial" w:cs="Arial"/>
          <w:bCs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6"/>
        <w:gridCol w:w="1230"/>
        <w:gridCol w:w="1186"/>
        <w:gridCol w:w="1232"/>
        <w:gridCol w:w="1188"/>
        <w:gridCol w:w="1232"/>
        <w:gridCol w:w="1188"/>
      </w:tblGrid>
      <w:tr w:rsidR="00E6472D" w:rsidRPr="008C0CFB" w14:paraId="18F09A25" w14:textId="77777777" w:rsidTr="00E3781A">
        <w:tc>
          <w:tcPr>
            <w:tcW w:w="1806" w:type="dxa"/>
            <w:vMerge w:val="restart"/>
          </w:tcPr>
          <w:p w14:paraId="2314F5A6" w14:textId="5B9F2550" w:rsidR="00E6472D" w:rsidRPr="008C0CFB" w:rsidRDefault="00E6472D" w:rsidP="00E6472D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Source de </w:t>
            </w:r>
            <w:proofErr w:type="spellStart"/>
            <w:r>
              <w:rPr>
                <w:rFonts w:ascii="Arial" w:hAnsi="Arial" w:cs="Arial"/>
                <w:b/>
              </w:rPr>
              <w:t>bois-énergie</w:t>
            </w:r>
            <w:proofErr w:type="spellEnd"/>
          </w:p>
        </w:tc>
        <w:tc>
          <w:tcPr>
            <w:tcW w:w="2416" w:type="dxa"/>
            <w:gridSpan w:val="2"/>
          </w:tcPr>
          <w:p w14:paraId="7620AEED" w14:textId="1A2F895D" w:rsidR="00E6472D" w:rsidRPr="008C0CFB" w:rsidRDefault="00E6472D" w:rsidP="00E6472D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Consommation</w:t>
            </w:r>
            <w:proofErr w:type="spellEnd"/>
            <w:r w:rsidRPr="008C0CFB">
              <w:rPr>
                <w:rFonts w:ascii="Arial" w:hAnsi="Arial" w:cs="Arial"/>
                <w:b/>
              </w:rPr>
              <w:t xml:space="preserve"> 2022</w:t>
            </w:r>
          </w:p>
        </w:tc>
        <w:tc>
          <w:tcPr>
            <w:tcW w:w="2420" w:type="dxa"/>
            <w:gridSpan w:val="2"/>
          </w:tcPr>
          <w:p w14:paraId="5EE3C131" w14:textId="29C59270" w:rsidR="00E6472D" w:rsidRPr="008C0CFB" w:rsidRDefault="00E6472D" w:rsidP="00E6472D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 w:rsidRPr="008C0CFB">
              <w:rPr>
                <w:rFonts w:ascii="Arial" w:hAnsi="Arial" w:cs="Arial"/>
                <w:b/>
              </w:rPr>
              <w:t>Poten</w:t>
            </w:r>
            <w:r>
              <w:rPr>
                <w:rFonts w:ascii="Arial" w:hAnsi="Arial" w:cs="Arial"/>
                <w:b/>
              </w:rPr>
              <w:t>tie</w:t>
            </w:r>
            <w:r w:rsidRPr="008C0CFB">
              <w:rPr>
                <w:rFonts w:ascii="Arial" w:hAnsi="Arial" w:cs="Arial"/>
                <w:b/>
              </w:rPr>
              <w:t>l</w:t>
            </w:r>
            <w:proofErr w:type="spellEnd"/>
            <w:r w:rsidRPr="008C0CFB">
              <w:rPr>
                <w:rFonts w:ascii="Arial" w:hAnsi="Arial" w:cs="Arial"/>
                <w:b/>
              </w:rPr>
              <w:t xml:space="preserve"> total</w:t>
            </w:r>
          </w:p>
        </w:tc>
        <w:tc>
          <w:tcPr>
            <w:tcW w:w="2420" w:type="dxa"/>
            <w:gridSpan w:val="2"/>
          </w:tcPr>
          <w:p w14:paraId="627761D2" w14:textId="29ACD3EB" w:rsidR="00E6472D" w:rsidRPr="008C0CFB" w:rsidRDefault="00E6472D" w:rsidP="00E6472D">
            <w:pPr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C0CFB">
              <w:rPr>
                <w:rFonts w:ascii="Arial" w:hAnsi="Arial" w:cs="Arial"/>
                <w:b/>
                <w:sz w:val="21"/>
                <w:szCs w:val="21"/>
              </w:rPr>
              <w:t>Poten</w:t>
            </w:r>
            <w:r>
              <w:rPr>
                <w:rFonts w:ascii="Arial" w:hAnsi="Arial" w:cs="Arial"/>
                <w:b/>
                <w:sz w:val="21"/>
                <w:szCs w:val="21"/>
              </w:rPr>
              <w:t>t</w:t>
            </w:r>
            <w:r w:rsidRPr="008C0CFB">
              <w:rPr>
                <w:rFonts w:ascii="Arial" w:hAnsi="Arial" w:cs="Arial"/>
                <w:b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Pr="008C0CFB">
              <w:rPr>
                <w:rFonts w:ascii="Arial" w:hAnsi="Arial" w:cs="Arial"/>
                <w:b/>
                <w:sz w:val="21"/>
                <w:szCs w:val="21"/>
              </w:rPr>
              <w:t>l</w:t>
            </w:r>
            <w:proofErr w:type="spellEnd"/>
            <w:r w:rsidRPr="008C0CF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restant</w:t>
            </w:r>
            <w:proofErr w:type="spellEnd"/>
          </w:p>
        </w:tc>
      </w:tr>
      <w:tr w:rsidR="00E6472D" w:rsidRPr="008C0CFB" w14:paraId="54E99475" w14:textId="77777777" w:rsidTr="00E3781A">
        <w:tc>
          <w:tcPr>
            <w:tcW w:w="1806" w:type="dxa"/>
            <w:vMerge/>
          </w:tcPr>
          <w:p w14:paraId="615643A6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1230" w:type="dxa"/>
          </w:tcPr>
          <w:p w14:paraId="456E18B6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6" w:type="dxa"/>
          </w:tcPr>
          <w:p w14:paraId="2BB6DD0E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</w:t>
            </w:r>
            <w:proofErr w:type="spellStart"/>
            <w:r w:rsidRPr="008C0CFB">
              <w:rPr>
                <w:rFonts w:ascii="Arial" w:hAnsi="Arial" w:cs="Arial"/>
                <w:bCs/>
              </w:rPr>
              <w:t>GWh</w:t>
            </w:r>
            <w:proofErr w:type="spellEnd"/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232" w:type="dxa"/>
          </w:tcPr>
          <w:p w14:paraId="214B1AE2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8" w:type="dxa"/>
          </w:tcPr>
          <w:p w14:paraId="59531DCD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</w:t>
            </w:r>
            <w:proofErr w:type="spellStart"/>
            <w:r w:rsidRPr="008C0CFB">
              <w:rPr>
                <w:rFonts w:ascii="Arial" w:hAnsi="Arial" w:cs="Arial"/>
                <w:bCs/>
              </w:rPr>
              <w:t>GWh</w:t>
            </w:r>
            <w:proofErr w:type="spellEnd"/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232" w:type="dxa"/>
          </w:tcPr>
          <w:p w14:paraId="64AB292C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[m</w:t>
            </w:r>
            <w:r w:rsidRPr="008C0CFB">
              <w:rPr>
                <w:rFonts w:ascii="Arial" w:hAnsi="Arial" w:cs="Arial"/>
                <w:bCs/>
                <w:vertAlign w:val="superscript"/>
              </w:rPr>
              <w:t>3</w:t>
            </w:r>
            <w:r w:rsidRPr="008C0CFB">
              <w:rPr>
                <w:rFonts w:ascii="Arial" w:hAnsi="Arial" w:cs="Arial"/>
                <w:bCs/>
              </w:rPr>
              <w:t>/a]</w:t>
            </w:r>
          </w:p>
        </w:tc>
        <w:tc>
          <w:tcPr>
            <w:tcW w:w="1188" w:type="dxa"/>
          </w:tcPr>
          <w:p w14:paraId="155765D0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[</w:t>
            </w:r>
            <w:proofErr w:type="spellStart"/>
            <w:r w:rsidRPr="008C0CFB">
              <w:rPr>
                <w:rFonts w:ascii="Arial" w:hAnsi="Arial" w:cs="Arial"/>
                <w:bCs/>
              </w:rPr>
              <w:t>GWh</w:t>
            </w:r>
            <w:proofErr w:type="spellEnd"/>
            <w:r w:rsidRPr="008C0CFB">
              <w:rPr>
                <w:rFonts w:ascii="Arial" w:hAnsi="Arial" w:cs="Arial"/>
                <w:bCs/>
              </w:rPr>
              <w:t>/a]</w:t>
            </w:r>
          </w:p>
        </w:tc>
      </w:tr>
      <w:tr w:rsidR="00E6472D" w:rsidRPr="008C0CFB" w14:paraId="4D59C0C9" w14:textId="77777777" w:rsidTr="00E3781A">
        <w:tc>
          <w:tcPr>
            <w:tcW w:w="1806" w:type="dxa"/>
          </w:tcPr>
          <w:p w14:paraId="1FF139AD" w14:textId="2BD6BF3F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de </w:t>
            </w:r>
            <w:proofErr w:type="spellStart"/>
            <w:r>
              <w:rPr>
                <w:rFonts w:ascii="Arial" w:hAnsi="Arial" w:cs="Arial"/>
                <w:bCs/>
              </w:rPr>
              <w:t>forêt</w:t>
            </w:r>
            <w:proofErr w:type="spellEnd"/>
          </w:p>
        </w:tc>
        <w:tc>
          <w:tcPr>
            <w:tcW w:w="1230" w:type="dxa"/>
          </w:tcPr>
          <w:p w14:paraId="043E6E47" w14:textId="2E9CDE4B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607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500 </w:t>
            </w:r>
          </w:p>
        </w:tc>
        <w:tc>
          <w:tcPr>
            <w:tcW w:w="1186" w:type="dxa"/>
          </w:tcPr>
          <w:p w14:paraId="6A1957C2" w14:textId="11C0A15D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118 </w:t>
            </w:r>
          </w:p>
        </w:tc>
        <w:tc>
          <w:tcPr>
            <w:tcW w:w="1232" w:type="dxa"/>
          </w:tcPr>
          <w:p w14:paraId="69488FA1" w14:textId="316CF558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479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1FBB11BF" w14:textId="5AA3E189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498 </w:t>
            </w:r>
          </w:p>
        </w:tc>
        <w:tc>
          <w:tcPr>
            <w:tcW w:w="1232" w:type="dxa"/>
          </w:tcPr>
          <w:p w14:paraId="66A48255" w14:textId="72842C0E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871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188" w:type="dxa"/>
          </w:tcPr>
          <w:p w14:paraId="5028EEB0" w14:textId="7E4D77E8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380 </w:t>
            </w:r>
          </w:p>
        </w:tc>
      </w:tr>
      <w:tr w:rsidR="00E6472D" w:rsidRPr="008C0CFB" w14:paraId="0F50FCB0" w14:textId="77777777" w:rsidTr="00E3781A">
        <w:tc>
          <w:tcPr>
            <w:tcW w:w="1806" w:type="dxa"/>
          </w:tcPr>
          <w:p w14:paraId="0745B99D" w14:textId="3807D3D0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</w:t>
            </w:r>
            <w:proofErr w:type="spellStart"/>
            <w:r>
              <w:rPr>
                <w:rFonts w:ascii="Arial" w:hAnsi="Arial" w:cs="Arial"/>
                <w:bCs/>
              </w:rPr>
              <w:t>paysager</w:t>
            </w:r>
            <w:proofErr w:type="spellEnd"/>
          </w:p>
        </w:tc>
        <w:tc>
          <w:tcPr>
            <w:tcW w:w="1230" w:type="dxa"/>
          </w:tcPr>
          <w:p w14:paraId="18EE604E" w14:textId="36BDAFB0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326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700 </w:t>
            </w:r>
          </w:p>
        </w:tc>
        <w:tc>
          <w:tcPr>
            <w:tcW w:w="1186" w:type="dxa"/>
          </w:tcPr>
          <w:p w14:paraId="0BF14085" w14:textId="6215B38C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892</w:t>
            </w:r>
          </w:p>
        </w:tc>
        <w:tc>
          <w:tcPr>
            <w:tcW w:w="1232" w:type="dxa"/>
          </w:tcPr>
          <w:p w14:paraId="4144D9ED" w14:textId="14FCC6F5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456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800 </w:t>
            </w:r>
          </w:p>
        </w:tc>
        <w:tc>
          <w:tcPr>
            <w:tcW w:w="1188" w:type="dxa"/>
          </w:tcPr>
          <w:p w14:paraId="09692800" w14:textId="236BC441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247 </w:t>
            </w:r>
          </w:p>
        </w:tc>
        <w:tc>
          <w:tcPr>
            <w:tcW w:w="1232" w:type="dxa"/>
          </w:tcPr>
          <w:p w14:paraId="223045BE" w14:textId="67503B59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130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88" w:type="dxa"/>
          </w:tcPr>
          <w:p w14:paraId="30F05747" w14:textId="35B7277C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355</w:t>
            </w:r>
          </w:p>
        </w:tc>
      </w:tr>
      <w:tr w:rsidR="00E6472D" w:rsidRPr="008C0CFB" w14:paraId="2BCB1FB8" w14:textId="77777777" w:rsidTr="00E3781A">
        <w:tc>
          <w:tcPr>
            <w:tcW w:w="1806" w:type="dxa"/>
          </w:tcPr>
          <w:p w14:paraId="30FAA0C3" w14:textId="3467C13B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Résidus</w:t>
            </w:r>
            <w:proofErr w:type="spellEnd"/>
            <w:r>
              <w:rPr>
                <w:rFonts w:ascii="Arial" w:hAnsi="Arial" w:cs="Arial"/>
                <w:bCs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</w:rPr>
              <w:t>bois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230" w:type="dxa"/>
          </w:tcPr>
          <w:p w14:paraId="19F634DB" w14:textId="1BC03F93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383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186" w:type="dxa"/>
          </w:tcPr>
          <w:p w14:paraId="15566B23" w14:textId="57A314FF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049 </w:t>
            </w:r>
          </w:p>
        </w:tc>
        <w:tc>
          <w:tcPr>
            <w:tcW w:w="1232" w:type="dxa"/>
          </w:tcPr>
          <w:p w14:paraId="2F58CC52" w14:textId="32A3D4F1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483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7CA33EE0" w14:textId="1FA7202E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4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049 </w:t>
            </w:r>
          </w:p>
        </w:tc>
        <w:tc>
          <w:tcPr>
            <w:tcW w:w="1232" w:type="dxa"/>
          </w:tcPr>
          <w:p w14:paraId="1DB01675" w14:textId="77CB0D66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188" w:type="dxa"/>
          </w:tcPr>
          <w:p w14:paraId="075A3C62" w14:textId="4EEF0A1B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-</w:t>
            </w:r>
          </w:p>
        </w:tc>
      </w:tr>
      <w:tr w:rsidR="00E6472D" w:rsidRPr="008C0CFB" w14:paraId="36BD12D1" w14:textId="77777777" w:rsidTr="00E3781A">
        <w:tc>
          <w:tcPr>
            <w:tcW w:w="1806" w:type="dxa"/>
          </w:tcPr>
          <w:p w14:paraId="2A8C9E73" w14:textId="64E50B1F" w:rsidR="00E6472D" w:rsidRPr="008C0CFB" w:rsidRDefault="00E6472D" w:rsidP="00E6472D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Bois </w:t>
            </w:r>
            <w:proofErr w:type="spellStart"/>
            <w:r>
              <w:rPr>
                <w:rFonts w:ascii="Arial" w:hAnsi="Arial" w:cs="Arial"/>
                <w:bCs/>
              </w:rPr>
              <w:t>usagé</w:t>
            </w:r>
            <w:proofErr w:type="spellEnd"/>
          </w:p>
        </w:tc>
        <w:tc>
          <w:tcPr>
            <w:tcW w:w="1230" w:type="dxa"/>
          </w:tcPr>
          <w:p w14:paraId="6FA77BFD" w14:textId="5CD3576A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082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600 </w:t>
            </w:r>
          </w:p>
        </w:tc>
        <w:tc>
          <w:tcPr>
            <w:tcW w:w="1186" w:type="dxa"/>
          </w:tcPr>
          <w:p w14:paraId="074C8D6D" w14:textId="0CBC0A91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955 </w:t>
            </w:r>
          </w:p>
        </w:tc>
        <w:tc>
          <w:tcPr>
            <w:tcW w:w="1232" w:type="dxa"/>
          </w:tcPr>
          <w:p w14:paraId="1EDA5376" w14:textId="5A1FAEA9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>364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300 </w:t>
            </w:r>
          </w:p>
        </w:tc>
        <w:tc>
          <w:tcPr>
            <w:tcW w:w="1188" w:type="dxa"/>
          </w:tcPr>
          <w:p w14:paraId="38C08692" w14:textId="1C9893B8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725 </w:t>
            </w:r>
          </w:p>
        </w:tc>
        <w:tc>
          <w:tcPr>
            <w:tcW w:w="1232" w:type="dxa"/>
          </w:tcPr>
          <w:p w14:paraId="4CF76B6D" w14:textId="3ACF792C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281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Cs/>
              </w:rPr>
              <w:t xml:space="preserve">700 </w:t>
            </w:r>
          </w:p>
        </w:tc>
        <w:tc>
          <w:tcPr>
            <w:tcW w:w="1188" w:type="dxa"/>
          </w:tcPr>
          <w:p w14:paraId="4AE10D03" w14:textId="7617C8FC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Cs/>
              </w:rPr>
            </w:pPr>
            <w:r w:rsidRPr="008C0CFB">
              <w:rPr>
                <w:rFonts w:ascii="Arial" w:hAnsi="Arial" w:cs="Arial"/>
                <w:bCs/>
              </w:rPr>
              <w:t>770</w:t>
            </w:r>
          </w:p>
        </w:tc>
      </w:tr>
      <w:tr w:rsidR="00E6472D" w:rsidRPr="008C0CFB" w14:paraId="18179434" w14:textId="77777777" w:rsidTr="00E3781A">
        <w:tc>
          <w:tcPr>
            <w:tcW w:w="1806" w:type="dxa"/>
          </w:tcPr>
          <w:p w14:paraId="0E87B6E4" w14:textId="77777777" w:rsidR="00E6472D" w:rsidRPr="008C0CFB" w:rsidRDefault="00E6472D" w:rsidP="00E6472D">
            <w:pPr>
              <w:spacing w:after="0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30" w:type="dxa"/>
          </w:tcPr>
          <w:p w14:paraId="07800FF0" w14:textId="00A4C755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500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100 </w:t>
            </w:r>
          </w:p>
        </w:tc>
        <w:tc>
          <w:tcPr>
            <w:tcW w:w="1186" w:type="dxa"/>
          </w:tcPr>
          <w:p w14:paraId="56F02C20" w14:textId="5A660DB0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015 </w:t>
            </w:r>
          </w:p>
        </w:tc>
        <w:tc>
          <w:tcPr>
            <w:tcW w:w="1232" w:type="dxa"/>
          </w:tcPr>
          <w:p w14:paraId="56D99B78" w14:textId="52CFA8FA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783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700 </w:t>
            </w:r>
          </w:p>
        </w:tc>
        <w:tc>
          <w:tcPr>
            <w:tcW w:w="1188" w:type="dxa"/>
          </w:tcPr>
          <w:p w14:paraId="752E2E3F" w14:textId="21E70B7B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18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520 </w:t>
            </w:r>
          </w:p>
        </w:tc>
        <w:tc>
          <w:tcPr>
            <w:tcW w:w="1232" w:type="dxa"/>
          </w:tcPr>
          <w:p w14:paraId="07B1170F" w14:textId="7D229A79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283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 xml:space="preserve">600 </w:t>
            </w:r>
          </w:p>
        </w:tc>
        <w:tc>
          <w:tcPr>
            <w:tcW w:w="1188" w:type="dxa"/>
          </w:tcPr>
          <w:p w14:paraId="2FCE4AC7" w14:textId="4725B0D0" w:rsidR="00E6472D" w:rsidRPr="008C0CFB" w:rsidRDefault="00E6472D" w:rsidP="00E6472D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8C0CFB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Cs/>
              </w:rPr>
              <w:t> </w:t>
            </w:r>
            <w:r w:rsidRPr="008C0CFB">
              <w:rPr>
                <w:rFonts w:ascii="Arial" w:hAnsi="Arial" w:cs="Arial"/>
                <w:b/>
              </w:rPr>
              <w:t>505</w:t>
            </w:r>
          </w:p>
        </w:tc>
      </w:tr>
    </w:tbl>
    <w:p w14:paraId="5B9D558C" w14:textId="77777777" w:rsidR="00622A76" w:rsidRPr="008C0CFB" w:rsidRDefault="00622A76" w:rsidP="00622A76">
      <w:pPr>
        <w:spacing w:after="0"/>
        <w:rPr>
          <w:rFonts w:ascii="Arial" w:hAnsi="Arial" w:cs="Arial"/>
          <w:bCs/>
        </w:rPr>
      </w:pPr>
    </w:p>
    <w:p w14:paraId="0AD65615" w14:textId="125257EB" w:rsidR="00622A76" w:rsidRPr="00D402B8" w:rsidRDefault="00153671" w:rsidP="00F16C72">
      <w:pPr>
        <w:spacing w:after="0"/>
        <w:rPr>
          <w:rFonts w:ascii="Arial" w:hAnsi="Arial" w:cs="Arial"/>
          <w:bCs/>
          <w:lang w:val="fr-CH"/>
        </w:rPr>
      </w:pPr>
      <w:r w:rsidRPr="00153671">
        <w:rPr>
          <w:rFonts w:ascii="Arial" w:hAnsi="Arial" w:cs="Arial"/>
          <w:bCs/>
          <w:lang w:val="fr-CH"/>
        </w:rPr>
        <w:t>Avec presque</w:t>
      </w:r>
      <w:r w:rsidR="00F16C72" w:rsidRPr="00153671">
        <w:rPr>
          <w:rFonts w:ascii="Arial" w:hAnsi="Arial" w:cs="Arial"/>
          <w:bCs/>
          <w:lang w:val="fr-CH"/>
        </w:rPr>
        <w:t xml:space="preserve"> 900</w:t>
      </w:r>
      <w:r w:rsidRPr="00153671">
        <w:rPr>
          <w:rFonts w:ascii="Arial" w:hAnsi="Arial" w:cs="Arial"/>
          <w:bCs/>
          <w:lang w:val="fr-CH"/>
        </w:rPr>
        <w:t> </w:t>
      </w:r>
      <w:r w:rsidR="00F16C72" w:rsidRPr="00153671">
        <w:rPr>
          <w:rFonts w:ascii="Arial" w:hAnsi="Arial" w:cs="Arial"/>
          <w:bCs/>
          <w:lang w:val="fr-CH"/>
        </w:rPr>
        <w:t>000 m</w:t>
      </w:r>
      <w:r w:rsidR="00F16C72" w:rsidRPr="00153671">
        <w:rPr>
          <w:rFonts w:ascii="Arial" w:hAnsi="Arial" w:cs="Arial"/>
          <w:bCs/>
          <w:vertAlign w:val="superscript"/>
          <w:lang w:val="fr-CH"/>
        </w:rPr>
        <w:t>3</w:t>
      </w:r>
      <w:r w:rsidRPr="00153671">
        <w:rPr>
          <w:rFonts w:ascii="Arial" w:hAnsi="Arial" w:cs="Arial"/>
          <w:bCs/>
          <w:lang w:val="fr-CH"/>
        </w:rPr>
        <w:t>, nos forêts</w:t>
      </w:r>
      <w:r w:rsidR="00F16C72" w:rsidRPr="00153671">
        <w:rPr>
          <w:rFonts w:ascii="Arial" w:hAnsi="Arial" w:cs="Arial"/>
          <w:bCs/>
          <w:lang w:val="fr-CH"/>
        </w:rPr>
        <w:t xml:space="preserve"> </w:t>
      </w:r>
      <w:r w:rsidRPr="00153671">
        <w:rPr>
          <w:rFonts w:ascii="Arial" w:hAnsi="Arial" w:cs="Arial"/>
          <w:bCs/>
          <w:lang w:val="fr-CH"/>
        </w:rPr>
        <w:t>offrent toujours le plus grand volu</w:t>
      </w:r>
      <w:r>
        <w:rPr>
          <w:rFonts w:ascii="Arial" w:hAnsi="Arial" w:cs="Arial"/>
          <w:bCs/>
          <w:lang w:val="fr-CH"/>
        </w:rPr>
        <w:t>me de bois supplémentaire exploitable.</w:t>
      </w:r>
      <w:r w:rsidR="00F16C72" w:rsidRPr="00153671">
        <w:rPr>
          <w:rFonts w:ascii="Arial" w:hAnsi="Arial" w:cs="Arial"/>
          <w:bCs/>
          <w:lang w:val="fr-CH"/>
        </w:rPr>
        <w:t xml:space="preserve"> </w:t>
      </w:r>
      <w:r w:rsidRPr="00153671">
        <w:rPr>
          <w:rFonts w:ascii="Arial" w:hAnsi="Arial" w:cs="Arial"/>
          <w:bCs/>
          <w:lang w:val="fr-CH"/>
        </w:rPr>
        <w:t>Le potentiel total d</w:t>
      </w:r>
      <w:r w:rsidR="00D402B8">
        <w:rPr>
          <w:rFonts w:ascii="Arial" w:hAnsi="Arial" w:cs="Arial"/>
          <w:bCs/>
          <w:lang w:val="fr-CH"/>
        </w:rPr>
        <w:t>u</w:t>
      </w:r>
      <w:r w:rsidRPr="00153671">
        <w:rPr>
          <w:rFonts w:ascii="Arial" w:hAnsi="Arial" w:cs="Arial"/>
          <w:bCs/>
          <w:lang w:val="fr-CH"/>
        </w:rPr>
        <w:t xml:space="preserve"> bois de forêt, du bois paysager et des résidus de bois se si</w:t>
      </w:r>
      <w:r>
        <w:rPr>
          <w:rFonts w:ascii="Arial" w:hAnsi="Arial" w:cs="Arial"/>
          <w:bCs/>
          <w:lang w:val="fr-CH"/>
        </w:rPr>
        <w:t xml:space="preserve">tue à </w:t>
      </w:r>
      <w:r w:rsidR="00622A76" w:rsidRPr="00153671">
        <w:rPr>
          <w:rFonts w:ascii="Arial" w:hAnsi="Arial" w:cs="Arial"/>
          <w:bCs/>
          <w:lang w:val="fr-CH"/>
        </w:rPr>
        <w:t xml:space="preserve">1,28 </w:t>
      </w:r>
      <w:r>
        <w:rPr>
          <w:rFonts w:ascii="Arial" w:hAnsi="Arial" w:cs="Arial"/>
          <w:bCs/>
          <w:lang w:val="fr-CH"/>
        </w:rPr>
        <w:t>million de m</w:t>
      </w:r>
      <w:r w:rsidRPr="00153671">
        <w:rPr>
          <w:rFonts w:ascii="Arial" w:hAnsi="Arial" w:cs="Arial"/>
          <w:bCs/>
          <w:vertAlign w:val="superscript"/>
          <w:lang w:val="fr-CH"/>
        </w:rPr>
        <w:t>3</w:t>
      </w:r>
      <w:r w:rsidR="00622A76" w:rsidRPr="00153671">
        <w:rPr>
          <w:rFonts w:ascii="Arial" w:hAnsi="Arial" w:cs="Arial"/>
          <w:bCs/>
          <w:lang w:val="fr-CH"/>
        </w:rPr>
        <w:t xml:space="preserve">. </w:t>
      </w:r>
      <w:r>
        <w:rPr>
          <w:rFonts w:ascii="Arial" w:hAnsi="Arial" w:cs="Arial"/>
          <w:bCs/>
          <w:lang w:val="fr-CH"/>
        </w:rPr>
        <w:t xml:space="preserve">Andreas </w:t>
      </w:r>
      <w:proofErr w:type="gramStart"/>
      <w:r>
        <w:rPr>
          <w:rFonts w:ascii="Arial" w:hAnsi="Arial" w:cs="Arial"/>
          <w:bCs/>
          <w:lang w:val="fr-CH"/>
        </w:rPr>
        <w:t>Keel:</w:t>
      </w:r>
      <w:proofErr w:type="gramEnd"/>
      <w:r>
        <w:rPr>
          <w:rFonts w:ascii="Arial" w:hAnsi="Arial" w:cs="Arial"/>
          <w:bCs/>
          <w:lang w:val="fr-CH"/>
        </w:rPr>
        <w:t xml:space="preserve"> </w:t>
      </w:r>
      <w:r w:rsidR="001D0737" w:rsidRPr="00153671">
        <w:rPr>
          <w:rFonts w:ascii="Arial" w:hAnsi="Arial" w:cs="Arial"/>
          <w:bCs/>
          <w:lang w:val="fr-CH"/>
        </w:rPr>
        <w:t>«</w:t>
      </w:r>
      <w:r w:rsidRPr="00153671">
        <w:rPr>
          <w:rFonts w:ascii="Arial" w:hAnsi="Arial" w:cs="Arial"/>
          <w:bCs/>
          <w:lang w:val="fr-CH"/>
        </w:rPr>
        <w:t xml:space="preserve">Ce potentiel augmente </w:t>
      </w:r>
      <w:r w:rsidR="00783BAD">
        <w:rPr>
          <w:rFonts w:ascii="Arial" w:hAnsi="Arial" w:cs="Arial"/>
          <w:bCs/>
          <w:lang w:val="fr-CH"/>
        </w:rPr>
        <w:t>lorsqu’on utilise le bois-énergie avec davantage d’efficacité</w:t>
      </w:r>
      <w:r>
        <w:rPr>
          <w:rFonts w:ascii="Arial" w:hAnsi="Arial" w:cs="Arial"/>
          <w:bCs/>
          <w:lang w:val="fr-CH"/>
        </w:rPr>
        <w:t xml:space="preserve">. </w:t>
      </w:r>
      <w:r w:rsidRPr="00153671">
        <w:rPr>
          <w:rFonts w:ascii="Arial" w:hAnsi="Arial" w:cs="Arial"/>
          <w:bCs/>
          <w:lang w:val="fr-CH"/>
        </w:rPr>
        <w:t xml:space="preserve">Le bois disponible aujourd’hui est </w:t>
      </w:r>
      <w:r w:rsidR="00783BAD">
        <w:rPr>
          <w:rFonts w:ascii="Arial" w:hAnsi="Arial" w:cs="Arial"/>
          <w:bCs/>
          <w:lang w:val="fr-CH"/>
        </w:rPr>
        <w:t xml:space="preserve">donc </w:t>
      </w:r>
      <w:r w:rsidRPr="00153671">
        <w:rPr>
          <w:rFonts w:ascii="Arial" w:hAnsi="Arial" w:cs="Arial"/>
          <w:bCs/>
          <w:lang w:val="fr-CH"/>
        </w:rPr>
        <w:t>suffisant pour réaliser to</w:t>
      </w:r>
      <w:r>
        <w:rPr>
          <w:rFonts w:ascii="Arial" w:hAnsi="Arial" w:cs="Arial"/>
          <w:bCs/>
          <w:lang w:val="fr-CH"/>
        </w:rPr>
        <w:t>us les projets et idées de projets actuels.</w:t>
      </w:r>
      <w:r w:rsidR="001D0737" w:rsidRPr="00153671">
        <w:rPr>
          <w:rFonts w:ascii="Arial" w:hAnsi="Arial" w:cs="Arial"/>
          <w:bCs/>
          <w:lang w:val="fr-CH"/>
        </w:rPr>
        <w:t xml:space="preserve"> </w:t>
      </w:r>
      <w:r w:rsidRPr="00153671">
        <w:rPr>
          <w:rFonts w:ascii="Arial" w:hAnsi="Arial" w:cs="Arial"/>
          <w:bCs/>
          <w:lang w:val="fr-CH"/>
        </w:rPr>
        <w:t xml:space="preserve">Cependant, il faut veiller à prioriser les canaux de </w:t>
      </w:r>
      <w:r w:rsidR="00783BAD">
        <w:rPr>
          <w:rFonts w:ascii="Arial" w:hAnsi="Arial" w:cs="Arial"/>
          <w:bCs/>
          <w:lang w:val="fr-CH"/>
        </w:rPr>
        <w:t>vente</w:t>
      </w:r>
      <w:r w:rsidRPr="00153671">
        <w:rPr>
          <w:rFonts w:ascii="Arial" w:hAnsi="Arial" w:cs="Arial"/>
          <w:bCs/>
          <w:lang w:val="fr-CH"/>
        </w:rPr>
        <w:t>, car certaine</w:t>
      </w:r>
      <w:r>
        <w:rPr>
          <w:rFonts w:ascii="Arial" w:hAnsi="Arial" w:cs="Arial"/>
          <w:bCs/>
          <w:lang w:val="fr-CH"/>
        </w:rPr>
        <w:t xml:space="preserve">s applications sont moins </w:t>
      </w:r>
      <w:proofErr w:type="gramStart"/>
      <w:r>
        <w:rPr>
          <w:rFonts w:ascii="Arial" w:hAnsi="Arial" w:cs="Arial"/>
          <w:bCs/>
          <w:lang w:val="fr-CH"/>
        </w:rPr>
        <w:t>utiles</w:t>
      </w:r>
      <w:r w:rsidR="00F16C72" w:rsidRPr="00153671">
        <w:rPr>
          <w:rFonts w:ascii="Arial" w:hAnsi="Arial" w:cs="Arial"/>
          <w:bCs/>
          <w:lang w:val="fr-CH"/>
        </w:rPr>
        <w:t>»</w:t>
      </w:r>
      <w:proofErr w:type="gramEnd"/>
      <w:r w:rsidR="009D3C24">
        <w:rPr>
          <w:rFonts w:ascii="Arial" w:hAnsi="Arial" w:cs="Arial"/>
          <w:bCs/>
          <w:lang w:val="fr-CH"/>
        </w:rPr>
        <w:t>,</w:t>
      </w:r>
      <w:r w:rsidR="00783BAD">
        <w:rPr>
          <w:rFonts w:ascii="Arial" w:hAnsi="Arial" w:cs="Arial"/>
          <w:bCs/>
          <w:lang w:val="fr-CH"/>
        </w:rPr>
        <w:t xml:space="preserve"> souligne-t-il.</w:t>
      </w:r>
      <w:r w:rsidR="00F16C72" w:rsidRPr="00153671">
        <w:rPr>
          <w:rFonts w:ascii="Arial" w:hAnsi="Arial" w:cs="Arial"/>
          <w:bCs/>
          <w:lang w:val="fr-CH"/>
        </w:rPr>
        <w:t xml:space="preserve"> </w:t>
      </w:r>
      <w:r w:rsidR="00783BAD">
        <w:rPr>
          <w:rFonts w:ascii="Arial" w:hAnsi="Arial" w:cs="Arial"/>
          <w:bCs/>
          <w:lang w:val="fr-CH"/>
        </w:rPr>
        <w:t>Ce</w:t>
      </w:r>
      <w:r w:rsidR="00D402B8" w:rsidRPr="00D402B8">
        <w:rPr>
          <w:rFonts w:ascii="Arial" w:hAnsi="Arial" w:cs="Arial"/>
          <w:bCs/>
          <w:lang w:val="fr-CH"/>
        </w:rPr>
        <w:t xml:space="preserve"> point de vue </w:t>
      </w:r>
      <w:r w:rsidRPr="00D402B8">
        <w:rPr>
          <w:rFonts w:ascii="Arial" w:hAnsi="Arial" w:cs="Arial"/>
          <w:bCs/>
          <w:lang w:val="fr-CH"/>
        </w:rPr>
        <w:t xml:space="preserve">est </w:t>
      </w:r>
      <w:r w:rsidR="00783BAD">
        <w:rPr>
          <w:rFonts w:ascii="Arial" w:hAnsi="Arial" w:cs="Arial"/>
          <w:bCs/>
          <w:lang w:val="fr-CH"/>
        </w:rPr>
        <w:t xml:space="preserve">d’ailleurs </w:t>
      </w:r>
      <w:r w:rsidRPr="00D402B8">
        <w:rPr>
          <w:rFonts w:ascii="Arial" w:hAnsi="Arial" w:cs="Arial"/>
          <w:bCs/>
          <w:lang w:val="fr-CH"/>
        </w:rPr>
        <w:t>soutenu par les milieux politiques.</w:t>
      </w:r>
    </w:p>
    <w:p w14:paraId="026B0DAC" w14:textId="77777777" w:rsidR="00622A76" w:rsidRPr="00D402B8" w:rsidRDefault="00622A76" w:rsidP="00622A76">
      <w:pPr>
        <w:spacing w:after="0"/>
        <w:rPr>
          <w:rFonts w:ascii="Arial" w:hAnsi="Arial" w:cs="Arial"/>
          <w:bCs/>
          <w:lang w:val="fr-CH"/>
        </w:rPr>
      </w:pPr>
    </w:p>
    <w:p w14:paraId="4F775CA9" w14:textId="3EA5CB73" w:rsidR="00622A76" w:rsidRPr="00783BAD" w:rsidRDefault="00783BAD" w:rsidP="00622A76">
      <w:pPr>
        <w:spacing w:after="0"/>
        <w:rPr>
          <w:rFonts w:ascii="Arial" w:hAnsi="Arial" w:cs="Arial"/>
          <w:b/>
          <w:lang w:val="fr-CH"/>
        </w:rPr>
      </w:pPr>
      <w:r w:rsidRPr="00783BAD">
        <w:rPr>
          <w:rFonts w:ascii="Arial" w:hAnsi="Arial" w:cs="Arial"/>
          <w:b/>
          <w:lang w:val="fr-CH"/>
        </w:rPr>
        <w:t xml:space="preserve">Définir des </w:t>
      </w:r>
      <w:proofErr w:type="gramStart"/>
      <w:r w:rsidRPr="00783BAD">
        <w:rPr>
          <w:rFonts w:ascii="Arial" w:hAnsi="Arial" w:cs="Arial"/>
          <w:b/>
          <w:lang w:val="fr-CH"/>
        </w:rPr>
        <w:t>priorités:</w:t>
      </w:r>
      <w:proofErr w:type="gramEnd"/>
      <w:r w:rsidRPr="00783BAD">
        <w:rPr>
          <w:rFonts w:ascii="Arial" w:hAnsi="Arial" w:cs="Arial"/>
          <w:b/>
          <w:lang w:val="fr-CH"/>
        </w:rPr>
        <w:t xml:space="preserve"> le postulat du consei</w:t>
      </w:r>
      <w:r>
        <w:rPr>
          <w:rFonts w:ascii="Arial" w:hAnsi="Arial" w:cs="Arial"/>
          <w:b/>
          <w:lang w:val="fr-CH"/>
        </w:rPr>
        <w:t xml:space="preserve">ller national </w:t>
      </w:r>
      <w:r w:rsidR="001D0737" w:rsidRPr="00783BAD">
        <w:rPr>
          <w:rFonts w:ascii="Arial" w:hAnsi="Arial" w:cs="Arial"/>
          <w:b/>
          <w:lang w:val="fr-CH"/>
        </w:rPr>
        <w:t>Roger Nordmann</w:t>
      </w:r>
    </w:p>
    <w:p w14:paraId="55237E0F" w14:textId="77777777" w:rsidR="00622A76" w:rsidRPr="00783BAD" w:rsidRDefault="00622A76" w:rsidP="00622A76">
      <w:pPr>
        <w:spacing w:after="0"/>
        <w:rPr>
          <w:rFonts w:ascii="Arial" w:hAnsi="Arial" w:cs="Arial"/>
          <w:bCs/>
          <w:lang w:val="fr-CH"/>
        </w:rPr>
      </w:pPr>
    </w:p>
    <w:p w14:paraId="4593A4F6" w14:textId="7CA28F3B" w:rsidR="001D0737" w:rsidRPr="00D402B8" w:rsidRDefault="00D402B8" w:rsidP="001D0737">
      <w:pPr>
        <w:spacing w:after="0"/>
        <w:rPr>
          <w:rFonts w:ascii="Arial" w:hAnsi="Arial" w:cs="Arial"/>
          <w:bCs/>
          <w:lang w:val="fr-CH"/>
        </w:rPr>
      </w:pPr>
      <w:r w:rsidRPr="00D402B8">
        <w:rPr>
          <w:rFonts w:ascii="Arial" w:hAnsi="Arial" w:cs="Arial"/>
          <w:bCs/>
          <w:lang w:val="fr-CH"/>
        </w:rPr>
        <w:lastRenderedPageBreak/>
        <w:t>Dans son postulat</w:t>
      </w:r>
      <w:proofErr w:type="gramStart"/>
      <w:r w:rsidRPr="00D402B8">
        <w:rPr>
          <w:rFonts w:ascii="Arial" w:hAnsi="Arial" w:cs="Arial"/>
          <w:bCs/>
          <w:lang w:val="fr-CH"/>
        </w:rPr>
        <w:t xml:space="preserve"> «Nordmann</w:t>
      </w:r>
      <w:proofErr w:type="gramEnd"/>
      <w:r w:rsidRPr="00D402B8">
        <w:rPr>
          <w:rFonts w:ascii="Arial" w:hAnsi="Arial" w:cs="Arial"/>
          <w:bCs/>
          <w:lang w:val="fr-CH"/>
        </w:rPr>
        <w:t>» déposé le 23 janvier 2024, la Commission de l’environnement, de l’aménagement du territoire et de l’énergie du Conseil national charge le Conseil fédé</w:t>
      </w:r>
      <w:r>
        <w:rPr>
          <w:rFonts w:ascii="Arial" w:hAnsi="Arial" w:cs="Arial"/>
          <w:bCs/>
          <w:lang w:val="fr-CH"/>
        </w:rPr>
        <w:t xml:space="preserve">ral </w:t>
      </w:r>
      <w:r w:rsidRPr="00D402B8">
        <w:rPr>
          <w:rFonts w:ascii="Arial" w:hAnsi="Arial" w:cs="Arial"/>
          <w:bCs/>
          <w:lang w:val="fr-CH"/>
        </w:rPr>
        <w:t xml:space="preserve">de proposer une stratégie </w:t>
      </w:r>
      <w:r w:rsidR="00783BAD">
        <w:rPr>
          <w:rFonts w:ascii="Arial" w:hAnsi="Arial" w:cs="Arial"/>
          <w:bCs/>
          <w:lang w:val="fr-CH"/>
        </w:rPr>
        <w:t>pour optimiser</w:t>
      </w:r>
      <w:r w:rsidRPr="00D402B8">
        <w:rPr>
          <w:rFonts w:ascii="Arial" w:hAnsi="Arial" w:cs="Arial"/>
          <w:bCs/>
          <w:lang w:val="fr-CH"/>
        </w:rPr>
        <w:t xml:space="preserve"> l’utilisation de la ressource bois en Suisse, avec en particulier les aspects suivants :</w:t>
      </w:r>
    </w:p>
    <w:p w14:paraId="4610FBB1" w14:textId="5A29A027" w:rsidR="00D402B8" w:rsidRPr="00D402B8" w:rsidRDefault="00D402B8" w:rsidP="00D402B8">
      <w:pPr>
        <w:pStyle w:val="Listenabsatz"/>
        <w:numPr>
          <w:ilvl w:val="0"/>
          <w:numId w:val="12"/>
        </w:numPr>
        <w:rPr>
          <w:rFonts w:ascii="Arial" w:hAnsi="Arial" w:cs="Arial"/>
          <w:bCs/>
          <w:lang w:val="fr-CH"/>
        </w:rPr>
      </w:pPr>
      <w:r w:rsidRPr="00D402B8">
        <w:rPr>
          <w:rFonts w:ascii="Arial" w:hAnsi="Arial" w:cs="Arial"/>
          <w:bCs/>
          <w:lang w:val="fr-CH"/>
        </w:rPr>
        <w:t>Augmentation et rationalisation de l’exploitation de la ressource bois en Suisse, dans le respect du droit forestier et de la biodiversité.</w:t>
      </w:r>
    </w:p>
    <w:p w14:paraId="7210936D" w14:textId="035DC5FF" w:rsidR="00164382" w:rsidRPr="00164382" w:rsidRDefault="00D402B8" w:rsidP="00164382">
      <w:pPr>
        <w:pStyle w:val="Listenabsatz"/>
        <w:numPr>
          <w:ilvl w:val="0"/>
          <w:numId w:val="12"/>
        </w:numPr>
        <w:rPr>
          <w:rFonts w:ascii="Arial" w:hAnsi="Arial" w:cs="Arial"/>
          <w:bCs/>
          <w:lang w:val="fr-CH"/>
        </w:rPr>
      </w:pPr>
      <w:r w:rsidRPr="00D402B8">
        <w:rPr>
          <w:rFonts w:ascii="Arial" w:hAnsi="Arial" w:cs="Arial"/>
          <w:bCs/>
          <w:lang w:val="fr-CH"/>
        </w:rPr>
        <w:t>Optimisation de l’utilisation du bois, au plan géographique, technologique et saisonnier, avec l’objectif de pouvoir couvrir davantage de besoins, notamment en chauffage.</w:t>
      </w:r>
      <w:r w:rsidR="001D0737" w:rsidRPr="00D402B8">
        <w:rPr>
          <w:rFonts w:ascii="Arial" w:hAnsi="Arial" w:cs="Arial"/>
          <w:bCs/>
          <w:lang w:val="fr-CH"/>
        </w:rPr>
        <w:t xml:space="preserve"> </w:t>
      </w:r>
      <w:r w:rsidR="00164382" w:rsidRPr="00164382">
        <w:rPr>
          <w:rFonts w:ascii="Arial" w:hAnsi="Arial" w:cs="Arial"/>
          <w:bCs/>
          <w:lang w:val="fr-CH"/>
        </w:rPr>
        <w:t>Il s</w:t>
      </w:r>
      <w:r w:rsidR="00164382">
        <w:rPr>
          <w:rFonts w:ascii="Arial" w:hAnsi="Arial" w:cs="Arial"/>
          <w:bCs/>
          <w:lang w:val="fr-CH"/>
        </w:rPr>
        <w:t>’</w:t>
      </w:r>
      <w:r w:rsidR="00164382" w:rsidRPr="00164382">
        <w:rPr>
          <w:rFonts w:ascii="Arial" w:hAnsi="Arial" w:cs="Arial"/>
          <w:bCs/>
          <w:lang w:val="fr-CH"/>
        </w:rPr>
        <w:t>agit de mettre l</w:t>
      </w:r>
      <w:r w:rsidR="00164382">
        <w:rPr>
          <w:rFonts w:ascii="Arial" w:hAnsi="Arial" w:cs="Arial"/>
          <w:bCs/>
          <w:lang w:val="fr-CH"/>
        </w:rPr>
        <w:t>’</w:t>
      </w:r>
      <w:r w:rsidR="00164382" w:rsidRPr="00164382">
        <w:rPr>
          <w:rFonts w:ascii="Arial" w:hAnsi="Arial" w:cs="Arial"/>
          <w:bCs/>
          <w:lang w:val="fr-CH"/>
        </w:rPr>
        <w:t xml:space="preserve">accent sur </w:t>
      </w:r>
      <w:r w:rsidR="00164382">
        <w:rPr>
          <w:rFonts w:ascii="Arial" w:hAnsi="Arial" w:cs="Arial"/>
          <w:bCs/>
          <w:lang w:val="fr-CH"/>
        </w:rPr>
        <w:t>trois</w:t>
      </w:r>
      <w:r w:rsidR="00164382" w:rsidRPr="00164382">
        <w:rPr>
          <w:rFonts w:ascii="Arial" w:hAnsi="Arial" w:cs="Arial"/>
          <w:bCs/>
          <w:lang w:val="fr-CH"/>
        </w:rPr>
        <w:t xml:space="preserve"> points</w:t>
      </w:r>
      <w:r w:rsidR="00164382">
        <w:rPr>
          <w:rFonts w:ascii="Arial" w:hAnsi="Arial" w:cs="Arial"/>
          <w:bCs/>
          <w:lang w:val="fr-CH"/>
        </w:rPr>
        <w:t xml:space="preserve"> </w:t>
      </w:r>
      <w:proofErr w:type="gramStart"/>
      <w:r w:rsidR="00164382">
        <w:rPr>
          <w:rFonts w:ascii="Arial" w:hAnsi="Arial" w:cs="Arial"/>
          <w:bCs/>
          <w:lang w:val="fr-CH"/>
        </w:rPr>
        <w:t>essentiels:</w:t>
      </w:r>
      <w:proofErr w:type="gramEnd"/>
      <w:r w:rsidR="00164382">
        <w:rPr>
          <w:rFonts w:ascii="Arial" w:hAnsi="Arial" w:cs="Arial"/>
          <w:bCs/>
          <w:lang w:val="fr-CH"/>
        </w:rPr>
        <w:t xml:space="preserve"> </w:t>
      </w:r>
      <w:r w:rsidRPr="00164382">
        <w:rPr>
          <w:rFonts w:ascii="Arial" w:hAnsi="Arial" w:cs="Arial"/>
          <w:bCs/>
          <w:lang w:val="fr-CH"/>
        </w:rPr>
        <w:t>premièrement</w:t>
      </w:r>
      <w:r w:rsidR="00164382">
        <w:rPr>
          <w:rFonts w:ascii="Arial" w:hAnsi="Arial" w:cs="Arial"/>
          <w:bCs/>
          <w:lang w:val="fr-CH"/>
        </w:rPr>
        <w:t>, l</w:t>
      </w:r>
      <w:r w:rsidR="00164382" w:rsidRPr="00164382">
        <w:rPr>
          <w:rFonts w:ascii="Arial" w:hAnsi="Arial" w:cs="Arial"/>
          <w:bCs/>
          <w:lang w:val="fr-CH"/>
        </w:rPr>
        <w:t>es systèmes duaux de chauffage à distance employant en été et à l’entre-saison d’autre</w:t>
      </w:r>
      <w:r w:rsidR="00164382">
        <w:rPr>
          <w:rFonts w:ascii="Arial" w:hAnsi="Arial" w:cs="Arial"/>
          <w:bCs/>
          <w:lang w:val="fr-CH"/>
        </w:rPr>
        <w:t>s</w:t>
      </w:r>
      <w:r w:rsidR="00164382" w:rsidRPr="00164382">
        <w:rPr>
          <w:rFonts w:ascii="Arial" w:hAnsi="Arial" w:cs="Arial"/>
          <w:bCs/>
          <w:lang w:val="fr-CH"/>
        </w:rPr>
        <w:t xml:space="preserve"> sources de chaleur, comme pompes à chaleur ou installations solaires thermiques</w:t>
      </w:r>
      <w:r w:rsidR="00164382">
        <w:rPr>
          <w:rFonts w:ascii="Arial" w:hAnsi="Arial" w:cs="Arial"/>
          <w:bCs/>
          <w:lang w:val="fr-CH"/>
        </w:rPr>
        <w:t xml:space="preserve"> ; deuxièmement, </w:t>
      </w:r>
      <w:r w:rsidR="00164382" w:rsidRPr="00164382">
        <w:rPr>
          <w:rFonts w:ascii="Arial" w:hAnsi="Arial" w:cs="Arial"/>
          <w:bCs/>
          <w:lang w:val="fr-CH"/>
        </w:rPr>
        <w:t>la promotion du développement des centrales de cogénération au bois</w:t>
      </w:r>
      <w:r w:rsidR="00164382">
        <w:rPr>
          <w:rFonts w:ascii="Arial" w:hAnsi="Arial" w:cs="Arial"/>
          <w:bCs/>
          <w:lang w:val="fr-CH"/>
        </w:rPr>
        <w:t xml:space="preserve"> ; et troisièmement, </w:t>
      </w:r>
      <w:r w:rsidR="00164382" w:rsidRPr="00164382">
        <w:rPr>
          <w:rFonts w:ascii="Arial" w:hAnsi="Arial" w:cs="Arial"/>
          <w:bCs/>
          <w:lang w:val="fr-CH"/>
        </w:rPr>
        <w:t>des incitations directes à améliorer l’efficacité énergétique des bâtiments qui possèdent déjà des systèmes de chauffage à bois</w:t>
      </w:r>
      <w:r w:rsidR="00164382">
        <w:rPr>
          <w:rFonts w:ascii="Arial" w:hAnsi="Arial" w:cs="Arial"/>
          <w:bCs/>
          <w:lang w:val="fr-CH"/>
        </w:rPr>
        <w:t>.</w:t>
      </w:r>
    </w:p>
    <w:p w14:paraId="71A07C0F" w14:textId="77777777" w:rsidR="001D0737" w:rsidRPr="00164382" w:rsidRDefault="001D0737" w:rsidP="00CA3912">
      <w:pPr>
        <w:spacing w:after="0"/>
        <w:rPr>
          <w:rFonts w:ascii="Arial" w:hAnsi="Arial" w:cs="Arial"/>
          <w:bCs/>
          <w:lang w:val="fr-CH"/>
        </w:rPr>
      </w:pPr>
    </w:p>
    <w:p w14:paraId="041F6B15" w14:textId="4FC7F650" w:rsidR="001D0737" w:rsidRPr="00DF6413" w:rsidRDefault="004612FD" w:rsidP="001D0737">
      <w:pPr>
        <w:spacing w:after="0"/>
        <w:rPr>
          <w:rFonts w:ascii="Arial" w:hAnsi="Arial" w:cs="Arial"/>
          <w:bCs/>
          <w:lang w:val="fr-CH"/>
        </w:rPr>
      </w:pPr>
      <w:r>
        <w:rPr>
          <w:rFonts w:ascii="Arial" w:hAnsi="Arial" w:cs="Arial"/>
          <w:bCs/>
          <w:lang w:val="fr-CH"/>
        </w:rPr>
        <w:t>Concrètement</w:t>
      </w:r>
      <w:r w:rsidR="00164382" w:rsidRPr="00164382">
        <w:rPr>
          <w:rFonts w:ascii="Arial" w:hAnsi="Arial" w:cs="Arial"/>
          <w:bCs/>
          <w:lang w:val="fr-CH"/>
        </w:rPr>
        <w:t>, cela signifie que la première pri</w:t>
      </w:r>
      <w:r w:rsidR="00164382">
        <w:rPr>
          <w:rFonts w:ascii="Arial" w:hAnsi="Arial" w:cs="Arial"/>
          <w:bCs/>
          <w:lang w:val="fr-CH"/>
        </w:rPr>
        <w:t>orité sera accordée aux</w:t>
      </w:r>
      <w:r w:rsidR="00164382" w:rsidRPr="00164382">
        <w:rPr>
          <w:rFonts w:ascii="Arial" w:hAnsi="Arial" w:cs="Arial"/>
          <w:bCs/>
          <w:lang w:val="fr-CH"/>
        </w:rPr>
        <w:t xml:space="preserve"> mesures d’augmentation de l’efficacité </w:t>
      </w:r>
      <w:r w:rsidR="00164382">
        <w:rPr>
          <w:rFonts w:ascii="Arial" w:hAnsi="Arial" w:cs="Arial"/>
          <w:bCs/>
          <w:lang w:val="fr-CH"/>
        </w:rPr>
        <w:t>et à l’exploitation décentralisée par les petites et moyennes installations d’une puissance maximum de 5</w:t>
      </w:r>
      <w:r w:rsidR="00783BAD">
        <w:rPr>
          <w:rFonts w:ascii="Arial" w:hAnsi="Arial" w:cs="Arial"/>
          <w:bCs/>
          <w:lang w:val="fr-CH"/>
        </w:rPr>
        <w:t>, voire</w:t>
      </w:r>
      <w:r w:rsidR="00164382">
        <w:rPr>
          <w:rFonts w:ascii="Arial" w:hAnsi="Arial" w:cs="Arial"/>
          <w:bCs/>
          <w:lang w:val="fr-CH"/>
        </w:rPr>
        <w:t xml:space="preserve"> de 10</w:t>
      </w:r>
      <w:r w:rsidR="00783BAD">
        <w:rPr>
          <w:rFonts w:ascii="Arial" w:hAnsi="Arial" w:cs="Arial"/>
          <w:bCs/>
          <w:lang w:val="fr-CH"/>
        </w:rPr>
        <w:t> </w:t>
      </w:r>
      <w:r w:rsidR="00164382">
        <w:rPr>
          <w:rFonts w:ascii="Arial" w:hAnsi="Arial" w:cs="Arial"/>
          <w:bCs/>
          <w:lang w:val="fr-CH"/>
        </w:rPr>
        <w:t>MW dans des cas particuliers (centrales de cogénération).</w:t>
      </w:r>
      <w:r w:rsidR="00CA3912" w:rsidRPr="00164382">
        <w:rPr>
          <w:rFonts w:ascii="Arial" w:hAnsi="Arial" w:cs="Arial"/>
          <w:bCs/>
          <w:lang w:val="fr-CH"/>
        </w:rPr>
        <w:t xml:space="preserve"> </w:t>
      </w:r>
      <w:r w:rsidR="00164382" w:rsidRPr="00164382">
        <w:rPr>
          <w:rFonts w:ascii="Arial" w:hAnsi="Arial" w:cs="Arial"/>
          <w:bCs/>
          <w:lang w:val="fr-CH"/>
        </w:rPr>
        <w:t xml:space="preserve">Il </w:t>
      </w:r>
      <w:r w:rsidR="00783BAD">
        <w:rPr>
          <w:rFonts w:ascii="Arial" w:hAnsi="Arial" w:cs="Arial"/>
          <w:bCs/>
          <w:lang w:val="fr-CH"/>
        </w:rPr>
        <w:t>convient d’</w:t>
      </w:r>
      <w:r w:rsidR="00164382">
        <w:rPr>
          <w:rFonts w:ascii="Arial" w:hAnsi="Arial" w:cs="Arial"/>
          <w:bCs/>
          <w:lang w:val="fr-CH"/>
        </w:rPr>
        <w:t>éviter l</w:t>
      </w:r>
      <w:r w:rsidR="00164382" w:rsidRPr="00164382">
        <w:rPr>
          <w:rFonts w:ascii="Arial" w:hAnsi="Arial" w:cs="Arial"/>
          <w:bCs/>
          <w:lang w:val="fr-CH"/>
        </w:rPr>
        <w:t xml:space="preserve">es installations de très grande taille (de plus de </w:t>
      </w:r>
      <w:r w:rsidR="002E16F1" w:rsidRPr="00164382">
        <w:rPr>
          <w:rFonts w:ascii="Arial" w:hAnsi="Arial" w:cs="Arial"/>
          <w:bCs/>
          <w:lang w:val="fr-CH"/>
        </w:rPr>
        <w:t>10</w:t>
      </w:r>
      <w:r w:rsidR="00164382">
        <w:rPr>
          <w:rFonts w:ascii="Arial" w:hAnsi="Arial" w:cs="Arial"/>
          <w:bCs/>
          <w:lang w:val="fr-CH"/>
        </w:rPr>
        <w:t> </w:t>
      </w:r>
      <w:r w:rsidR="00164382" w:rsidRPr="00164382">
        <w:rPr>
          <w:rFonts w:ascii="Arial" w:hAnsi="Arial" w:cs="Arial"/>
          <w:bCs/>
          <w:lang w:val="fr-CH"/>
        </w:rPr>
        <w:t>MW de puissance</w:t>
      </w:r>
      <w:r w:rsidR="002E16F1" w:rsidRPr="00164382">
        <w:rPr>
          <w:rFonts w:ascii="Arial" w:hAnsi="Arial" w:cs="Arial"/>
          <w:bCs/>
          <w:lang w:val="fr-CH"/>
        </w:rPr>
        <w:t>)</w:t>
      </w:r>
      <w:r w:rsidR="00164382">
        <w:rPr>
          <w:rFonts w:ascii="Arial" w:hAnsi="Arial" w:cs="Arial"/>
          <w:bCs/>
          <w:lang w:val="fr-CH"/>
        </w:rPr>
        <w:t xml:space="preserve">, car elles </w:t>
      </w:r>
      <w:r w:rsidR="00783BAD">
        <w:rPr>
          <w:rFonts w:ascii="Arial" w:hAnsi="Arial" w:cs="Arial"/>
          <w:bCs/>
          <w:lang w:val="fr-CH"/>
        </w:rPr>
        <w:t>augmentent l</w:t>
      </w:r>
      <w:r w:rsidR="00054656">
        <w:rPr>
          <w:rFonts w:ascii="Arial" w:hAnsi="Arial" w:cs="Arial"/>
          <w:bCs/>
          <w:lang w:val="fr-CH"/>
        </w:rPr>
        <w:t>e</w:t>
      </w:r>
      <w:r w:rsidR="00783BAD">
        <w:rPr>
          <w:rFonts w:ascii="Arial" w:hAnsi="Arial" w:cs="Arial"/>
          <w:bCs/>
          <w:lang w:val="fr-CH"/>
        </w:rPr>
        <w:t>s</w:t>
      </w:r>
      <w:r w:rsidR="00054656">
        <w:rPr>
          <w:rFonts w:ascii="Arial" w:hAnsi="Arial" w:cs="Arial"/>
          <w:bCs/>
          <w:lang w:val="fr-CH"/>
        </w:rPr>
        <w:t xml:space="preserve"> distances de transport du bois</w:t>
      </w:r>
      <w:r w:rsidR="002E16F1" w:rsidRPr="00164382">
        <w:rPr>
          <w:rFonts w:ascii="Arial" w:hAnsi="Arial" w:cs="Arial"/>
          <w:bCs/>
          <w:lang w:val="fr-CH"/>
        </w:rPr>
        <w:t xml:space="preserve"> </w:t>
      </w:r>
      <w:r w:rsidR="00054656">
        <w:rPr>
          <w:rFonts w:ascii="Arial" w:hAnsi="Arial" w:cs="Arial"/>
          <w:bCs/>
          <w:lang w:val="fr-CH"/>
        </w:rPr>
        <w:t>et présentent des risques cumulés.</w:t>
      </w:r>
      <w:r w:rsidR="002E16F1" w:rsidRPr="00164382">
        <w:rPr>
          <w:rFonts w:ascii="Arial" w:hAnsi="Arial" w:cs="Arial"/>
          <w:bCs/>
          <w:lang w:val="fr-CH"/>
        </w:rPr>
        <w:t xml:space="preserve"> </w:t>
      </w:r>
      <w:r w:rsidR="00054656" w:rsidRPr="00054656">
        <w:rPr>
          <w:rFonts w:ascii="Arial" w:hAnsi="Arial" w:cs="Arial"/>
          <w:bCs/>
          <w:lang w:val="fr-CH"/>
        </w:rPr>
        <w:t xml:space="preserve">La puissance des chauffages à pellets ne devrait pas dépasser les </w:t>
      </w:r>
      <w:r w:rsidR="00CA3912" w:rsidRPr="00054656">
        <w:rPr>
          <w:rFonts w:ascii="Arial" w:hAnsi="Arial" w:cs="Arial"/>
          <w:bCs/>
          <w:lang w:val="fr-CH"/>
        </w:rPr>
        <w:t>1000</w:t>
      </w:r>
      <w:r w:rsidR="00783BAD">
        <w:rPr>
          <w:rFonts w:ascii="Arial" w:hAnsi="Arial" w:cs="Arial"/>
          <w:bCs/>
          <w:lang w:val="fr-CH"/>
        </w:rPr>
        <w:t> </w:t>
      </w:r>
      <w:r w:rsidR="00CA3912" w:rsidRPr="00054656">
        <w:rPr>
          <w:rFonts w:ascii="Arial" w:hAnsi="Arial" w:cs="Arial"/>
          <w:bCs/>
          <w:lang w:val="fr-CH"/>
        </w:rPr>
        <w:t>kW.</w:t>
      </w:r>
      <w:r w:rsidR="008D1546" w:rsidRPr="00054656">
        <w:rPr>
          <w:rFonts w:ascii="Arial" w:hAnsi="Arial" w:cs="Arial"/>
          <w:bCs/>
          <w:lang w:val="fr-CH"/>
        </w:rPr>
        <w:t xml:space="preserve"> </w:t>
      </w:r>
      <w:proofErr w:type="gramStart"/>
      <w:r w:rsidR="008D1546" w:rsidRPr="00054656">
        <w:rPr>
          <w:rFonts w:ascii="Arial" w:hAnsi="Arial" w:cs="Arial"/>
          <w:bCs/>
          <w:lang w:val="fr-CH"/>
        </w:rPr>
        <w:t>«</w:t>
      </w:r>
      <w:r w:rsidR="00783BAD">
        <w:rPr>
          <w:rFonts w:ascii="Arial" w:hAnsi="Arial" w:cs="Arial"/>
          <w:bCs/>
          <w:lang w:val="fr-CH"/>
        </w:rPr>
        <w:t>Grâce</w:t>
      </w:r>
      <w:proofErr w:type="gramEnd"/>
      <w:r w:rsidR="00783BAD">
        <w:rPr>
          <w:rFonts w:ascii="Arial" w:hAnsi="Arial" w:cs="Arial"/>
          <w:bCs/>
          <w:lang w:val="fr-CH"/>
        </w:rPr>
        <w:t xml:space="preserve"> aux</w:t>
      </w:r>
      <w:r w:rsidR="00054656" w:rsidRPr="00054656">
        <w:rPr>
          <w:rFonts w:ascii="Arial" w:hAnsi="Arial" w:cs="Arial"/>
          <w:bCs/>
          <w:lang w:val="fr-CH"/>
        </w:rPr>
        <w:t xml:space="preserve"> discussions que nous menons depuis 2021 dans le contexte des stratégies d’utilisation et du monitoring</w:t>
      </w:r>
      <w:r w:rsidR="00783BAD">
        <w:rPr>
          <w:rFonts w:ascii="Arial" w:hAnsi="Arial" w:cs="Arial"/>
          <w:bCs/>
          <w:lang w:val="fr-CH"/>
        </w:rPr>
        <w:t>,</w:t>
      </w:r>
      <w:r w:rsidR="00054656" w:rsidRPr="00054656">
        <w:rPr>
          <w:rFonts w:ascii="Arial" w:hAnsi="Arial" w:cs="Arial"/>
          <w:bCs/>
          <w:lang w:val="fr-CH"/>
        </w:rPr>
        <w:t xml:space="preserve"> plusieurs idées de très gros projets ont </w:t>
      </w:r>
      <w:r w:rsidR="00783BAD">
        <w:rPr>
          <w:rFonts w:ascii="Arial" w:hAnsi="Arial" w:cs="Arial"/>
          <w:bCs/>
          <w:lang w:val="fr-CH"/>
        </w:rPr>
        <w:t xml:space="preserve">heureusement </w:t>
      </w:r>
      <w:r w:rsidR="00054656" w:rsidRPr="00054656">
        <w:rPr>
          <w:rFonts w:ascii="Arial" w:hAnsi="Arial" w:cs="Arial"/>
          <w:bCs/>
          <w:lang w:val="fr-CH"/>
        </w:rPr>
        <w:t>été abandonné</w:t>
      </w:r>
      <w:r w:rsidR="00783BAD">
        <w:rPr>
          <w:rFonts w:ascii="Arial" w:hAnsi="Arial" w:cs="Arial"/>
          <w:bCs/>
          <w:lang w:val="fr-CH"/>
        </w:rPr>
        <w:t>e</w:t>
      </w:r>
      <w:r w:rsidR="00054656" w:rsidRPr="00054656">
        <w:rPr>
          <w:rFonts w:ascii="Arial" w:hAnsi="Arial" w:cs="Arial"/>
          <w:bCs/>
          <w:lang w:val="fr-CH"/>
        </w:rPr>
        <w:t>s depuis</w:t>
      </w:r>
      <w:r w:rsidR="00783BAD">
        <w:rPr>
          <w:rFonts w:ascii="Arial" w:hAnsi="Arial" w:cs="Arial"/>
          <w:bCs/>
          <w:lang w:val="fr-CH"/>
        </w:rPr>
        <w:t>,</w:t>
      </w:r>
      <w:r w:rsidR="00054656" w:rsidRPr="00054656">
        <w:rPr>
          <w:rFonts w:ascii="Arial" w:hAnsi="Arial" w:cs="Arial"/>
          <w:bCs/>
          <w:lang w:val="fr-CH"/>
        </w:rPr>
        <w:t xml:space="preserve"> ou réduit</w:t>
      </w:r>
      <w:r w:rsidR="00783BAD">
        <w:rPr>
          <w:rFonts w:ascii="Arial" w:hAnsi="Arial" w:cs="Arial"/>
          <w:bCs/>
          <w:lang w:val="fr-CH"/>
        </w:rPr>
        <w:t>e</w:t>
      </w:r>
      <w:r w:rsidR="00054656" w:rsidRPr="00054656">
        <w:rPr>
          <w:rFonts w:ascii="Arial" w:hAnsi="Arial" w:cs="Arial"/>
          <w:bCs/>
          <w:lang w:val="fr-CH"/>
        </w:rPr>
        <w:t>s de manière significative</w:t>
      </w:r>
      <w:r w:rsidR="008D1546" w:rsidRPr="00054656">
        <w:rPr>
          <w:rFonts w:ascii="Arial" w:hAnsi="Arial" w:cs="Arial"/>
          <w:bCs/>
          <w:lang w:val="fr-CH"/>
        </w:rPr>
        <w:t xml:space="preserve">», </w:t>
      </w:r>
      <w:r w:rsidR="00783BAD">
        <w:rPr>
          <w:rFonts w:ascii="Arial" w:hAnsi="Arial" w:cs="Arial"/>
          <w:bCs/>
          <w:lang w:val="fr-CH"/>
        </w:rPr>
        <w:t>résume</w:t>
      </w:r>
      <w:r w:rsidR="00054656">
        <w:rPr>
          <w:rFonts w:ascii="Arial" w:hAnsi="Arial" w:cs="Arial"/>
          <w:bCs/>
          <w:lang w:val="fr-CH"/>
        </w:rPr>
        <w:t xml:space="preserve"> </w:t>
      </w:r>
      <w:r w:rsidR="008D1546" w:rsidRPr="00054656">
        <w:rPr>
          <w:rFonts w:ascii="Arial" w:hAnsi="Arial" w:cs="Arial"/>
          <w:bCs/>
          <w:lang w:val="fr-CH"/>
        </w:rPr>
        <w:t>Andreas Keel</w:t>
      </w:r>
      <w:r w:rsidR="00054656">
        <w:rPr>
          <w:rFonts w:ascii="Arial" w:hAnsi="Arial" w:cs="Arial"/>
          <w:bCs/>
          <w:lang w:val="fr-CH"/>
        </w:rPr>
        <w:t xml:space="preserve">. </w:t>
      </w:r>
      <w:r w:rsidR="00054656" w:rsidRPr="00054656">
        <w:rPr>
          <w:rFonts w:ascii="Arial" w:hAnsi="Arial" w:cs="Arial"/>
          <w:bCs/>
          <w:lang w:val="fr-CH"/>
        </w:rPr>
        <w:t xml:space="preserve">Quant aux démarches d’optimisation, ses prévisions sont elles aussi très </w:t>
      </w:r>
      <w:proofErr w:type="gramStart"/>
      <w:r w:rsidR="00054656" w:rsidRPr="00054656">
        <w:rPr>
          <w:rFonts w:ascii="Arial" w:hAnsi="Arial" w:cs="Arial"/>
          <w:bCs/>
          <w:lang w:val="fr-CH"/>
        </w:rPr>
        <w:t>concrètes:</w:t>
      </w:r>
      <w:proofErr w:type="gramEnd"/>
      <w:r w:rsidR="00054656" w:rsidRPr="00054656">
        <w:rPr>
          <w:rFonts w:ascii="Arial" w:hAnsi="Arial" w:cs="Arial"/>
          <w:bCs/>
          <w:lang w:val="fr-CH"/>
        </w:rPr>
        <w:t xml:space="preserve"> </w:t>
      </w:r>
      <w:r w:rsidR="001D0737" w:rsidRPr="00054656">
        <w:rPr>
          <w:rFonts w:ascii="Arial" w:hAnsi="Arial" w:cs="Arial"/>
          <w:bCs/>
          <w:lang w:val="fr-CH"/>
        </w:rPr>
        <w:t>«</w:t>
      </w:r>
      <w:r w:rsidR="00054656" w:rsidRPr="0058123E">
        <w:rPr>
          <w:rFonts w:ascii="Arial" w:hAnsi="Arial" w:cs="Arial"/>
          <w:bCs/>
          <w:lang w:val="fr-CH"/>
        </w:rPr>
        <w:t>A moyen et à long terme, une efficacité</w:t>
      </w:r>
      <w:r w:rsidR="00054656">
        <w:rPr>
          <w:rFonts w:ascii="Arial" w:hAnsi="Arial" w:cs="Arial"/>
          <w:bCs/>
          <w:lang w:val="fr-CH"/>
        </w:rPr>
        <w:t xml:space="preserve"> accrue et des optimisations</w:t>
      </w:r>
      <w:r w:rsidR="00054656" w:rsidRPr="0058123E">
        <w:rPr>
          <w:rFonts w:ascii="Arial" w:hAnsi="Arial" w:cs="Arial"/>
          <w:bCs/>
          <w:lang w:val="fr-CH"/>
        </w:rPr>
        <w:t xml:space="preserve"> </w:t>
      </w:r>
      <w:r w:rsidR="00054656">
        <w:rPr>
          <w:rFonts w:ascii="Arial" w:hAnsi="Arial" w:cs="Arial"/>
          <w:bCs/>
          <w:lang w:val="fr-CH"/>
        </w:rPr>
        <w:t xml:space="preserve">permettront de réduire </w:t>
      </w:r>
      <w:r w:rsidR="00054656" w:rsidRPr="0058123E">
        <w:rPr>
          <w:rFonts w:ascii="Arial" w:hAnsi="Arial" w:cs="Arial"/>
          <w:bCs/>
          <w:lang w:val="fr-CH"/>
        </w:rPr>
        <w:t xml:space="preserve">la consommation </w:t>
      </w:r>
      <w:r w:rsidR="00054656">
        <w:rPr>
          <w:rFonts w:ascii="Arial" w:hAnsi="Arial" w:cs="Arial"/>
          <w:bCs/>
          <w:lang w:val="fr-CH"/>
        </w:rPr>
        <w:t xml:space="preserve">de bois </w:t>
      </w:r>
      <w:r w:rsidR="00054656" w:rsidRPr="0058123E">
        <w:rPr>
          <w:rFonts w:ascii="Arial" w:hAnsi="Arial" w:cs="Arial"/>
          <w:bCs/>
          <w:lang w:val="fr-CH"/>
        </w:rPr>
        <w:t xml:space="preserve">des chauffages </w:t>
      </w:r>
      <w:r w:rsidR="00054656">
        <w:rPr>
          <w:rFonts w:ascii="Arial" w:hAnsi="Arial" w:cs="Arial"/>
          <w:bCs/>
          <w:lang w:val="fr-CH"/>
        </w:rPr>
        <w:t xml:space="preserve">existants </w:t>
      </w:r>
      <w:r w:rsidR="00054656" w:rsidRPr="0058123E">
        <w:rPr>
          <w:rFonts w:ascii="Arial" w:hAnsi="Arial" w:cs="Arial"/>
          <w:bCs/>
          <w:lang w:val="fr-CH"/>
        </w:rPr>
        <w:t>et réseaux de chaleur urbains de 10% à 15%</w:t>
      </w:r>
      <w:r w:rsidR="00054656">
        <w:rPr>
          <w:rFonts w:ascii="Arial" w:hAnsi="Arial" w:cs="Arial"/>
          <w:bCs/>
          <w:lang w:val="fr-CH"/>
        </w:rPr>
        <w:t xml:space="preserve">. </w:t>
      </w:r>
      <w:r w:rsidR="00054656" w:rsidRPr="0058123E">
        <w:rPr>
          <w:rFonts w:ascii="Arial" w:hAnsi="Arial" w:cs="Arial"/>
          <w:bCs/>
          <w:lang w:val="fr-CH"/>
        </w:rPr>
        <w:t xml:space="preserve">Ces mesures </w:t>
      </w:r>
      <w:r w:rsidR="00054656">
        <w:rPr>
          <w:rFonts w:ascii="Arial" w:hAnsi="Arial" w:cs="Arial"/>
          <w:bCs/>
          <w:lang w:val="fr-CH"/>
        </w:rPr>
        <w:t>pourraient &lt;</w:t>
      </w:r>
      <w:r w:rsidR="00054656" w:rsidRPr="0058123E">
        <w:rPr>
          <w:rFonts w:ascii="Arial" w:hAnsi="Arial" w:cs="Arial"/>
          <w:bCs/>
          <w:lang w:val="fr-CH"/>
        </w:rPr>
        <w:t>libérer</w:t>
      </w:r>
      <w:r w:rsidR="00054656">
        <w:rPr>
          <w:rFonts w:ascii="Arial" w:hAnsi="Arial" w:cs="Arial"/>
          <w:bCs/>
          <w:lang w:val="fr-CH"/>
        </w:rPr>
        <w:t>&gt;</w:t>
      </w:r>
      <w:r w:rsidR="00054656" w:rsidRPr="0058123E">
        <w:rPr>
          <w:rFonts w:ascii="Arial" w:hAnsi="Arial" w:cs="Arial"/>
          <w:bCs/>
          <w:lang w:val="fr-CH"/>
        </w:rPr>
        <w:t xml:space="preserve"> entre 0,3 et 0,5 million de m</w:t>
      </w:r>
      <w:r w:rsidR="00054656" w:rsidRPr="006C63EB">
        <w:rPr>
          <w:rFonts w:ascii="Arial" w:hAnsi="Arial" w:cs="Arial"/>
          <w:bCs/>
          <w:vertAlign w:val="superscript"/>
          <w:lang w:val="fr-CH"/>
        </w:rPr>
        <w:t>3</w:t>
      </w:r>
      <w:r w:rsidR="00054656" w:rsidRPr="0058123E">
        <w:rPr>
          <w:rFonts w:ascii="Arial" w:hAnsi="Arial" w:cs="Arial"/>
          <w:bCs/>
          <w:lang w:val="fr-CH"/>
        </w:rPr>
        <w:t xml:space="preserve"> de bois pour de</w:t>
      </w:r>
      <w:r w:rsidR="00054656">
        <w:rPr>
          <w:rFonts w:ascii="Arial" w:hAnsi="Arial" w:cs="Arial"/>
          <w:bCs/>
          <w:lang w:val="fr-CH"/>
        </w:rPr>
        <w:t xml:space="preserve">s applications supplémentaires. </w:t>
      </w:r>
      <w:r w:rsidR="00054656" w:rsidRPr="0058123E">
        <w:rPr>
          <w:rFonts w:ascii="Arial" w:hAnsi="Arial" w:cs="Arial"/>
          <w:bCs/>
          <w:lang w:val="fr-CH"/>
        </w:rPr>
        <w:t>Une intégration intelligente de sources d’énergie additionnelles</w:t>
      </w:r>
      <w:r w:rsidR="00054656">
        <w:rPr>
          <w:rFonts w:ascii="Arial" w:hAnsi="Arial" w:cs="Arial"/>
          <w:bCs/>
          <w:lang w:val="fr-CH"/>
        </w:rPr>
        <w:t xml:space="preserve"> –</w:t>
      </w:r>
      <w:r w:rsidR="00054656" w:rsidRPr="0058123E">
        <w:rPr>
          <w:rFonts w:ascii="Arial" w:hAnsi="Arial" w:cs="Arial"/>
          <w:bCs/>
          <w:lang w:val="fr-CH"/>
        </w:rPr>
        <w:t xml:space="preserve"> telles que le photovoltaïque</w:t>
      </w:r>
      <w:r w:rsidR="00054656">
        <w:rPr>
          <w:rFonts w:ascii="Arial" w:hAnsi="Arial" w:cs="Arial"/>
          <w:bCs/>
          <w:lang w:val="fr-CH"/>
        </w:rPr>
        <w:t> </w:t>
      </w:r>
      <w:r w:rsidR="00054656" w:rsidRPr="0058123E">
        <w:rPr>
          <w:rFonts w:ascii="Arial" w:hAnsi="Arial" w:cs="Arial"/>
          <w:bCs/>
          <w:lang w:val="fr-CH"/>
        </w:rPr>
        <w:t>/</w:t>
      </w:r>
      <w:r w:rsidR="00054656">
        <w:rPr>
          <w:rFonts w:ascii="Arial" w:hAnsi="Arial" w:cs="Arial"/>
          <w:bCs/>
          <w:lang w:val="fr-CH"/>
        </w:rPr>
        <w:t> </w:t>
      </w:r>
      <w:r w:rsidR="00054656" w:rsidRPr="0058123E">
        <w:rPr>
          <w:rFonts w:ascii="Arial" w:hAnsi="Arial" w:cs="Arial"/>
          <w:bCs/>
          <w:lang w:val="fr-CH"/>
        </w:rPr>
        <w:t xml:space="preserve">les pompes à chaleur ou les installations solaires thermiques </w:t>
      </w:r>
      <w:r w:rsidR="00054656">
        <w:rPr>
          <w:rFonts w:ascii="Arial" w:hAnsi="Arial" w:cs="Arial"/>
          <w:bCs/>
          <w:lang w:val="fr-CH"/>
        </w:rPr>
        <w:t xml:space="preserve">– </w:t>
      </w:r>
      <w:r w:rsidR="00054656" w:rsidRPr="0058123E">
        <w:rPr>
          <w:rFonts w:ascii="Arial" w:hAnsi="Arial" w:cs="Arial"/>
          <w:bCs/>
          <w:lang w:val="fr-CH"/>
        </w:rPr>
        <w:t xml:space="preserve">avec </w:t>
      </w:r>
      <w:r w:rsidR="00054656">
        <w:rPr>
          <w:rFonts w:ascii="Arial" w:hAnsi="Arial" w:cs="Arial"/>
          <w:bCs/>
          <w:lang w:val="fr-CH"/>
        </w:rPr>
        <w:t xml:space="preserve">les installations existantes permettrait de réduire encore davantage la consommation de bois, notamment pendant le semestre d’été, et ce de l’ordre de </w:t>
      </w:r>
      <w:r w:rsidR="00054656" w:rsidRPr="0058123E">
        <w:rPr>
          <w:rFonts w:ascii="Arial" w:hAnsi="Arial" w:cs="Arial"/>
          <w:bCs/>
          <w:lang w:val="fr-CH"/>
        </w:rPr>
        <w:t xml:space="preserve">0,5 </w:t>
      </w:r>
      <w:r w:rsidR="00054656">
        <w:rPr>
          <w:rFonts w:ascii="Arial" w:hAnsi="Arial" w:cs="Arial"/>
          <w:bCs/>
          <w:lang w:val="fr-CH"/>
        </w:rPr>
        <w:t>million de m</w:t>
      </w:r>
      <w:r w:rsidR="00054656" w:rsidRPr="00B03EF9">
        <w:rPr>
          <w:rFonts w:ascii="Arial" w:hAnsi="Arial" w:cs="Arial"/>
          <w:bCs/>
          <w:vertAlign w:val="superscript"/>
          <w:lang w:val="fr-CH"/>
        </w:rPr>
        <w:t>3</w:t>
      </w:r>
      <w:r w:rsidR="00054656">
        <w:rPr>
          <w:rFonts w:ascii="Arial" w:hAnsi="Arial" w:cs="Arial"/>
          <w:bCs/>
          <w:lang w:val="fr-CH"/>
        </w:rPr>
        <w:t>.</w:t>
      </w:r>
      <w:r w:rsidR="00054656" w:rsidRPr="0058123E">
        <w:rPr>
          <w:rFonts w:ascii="Arial" w:hAnsi="Arial" w:cs="Arial"/>
          <w:bCs/>
          <w:lang w:val="fr-CH"/>
        </w:rPr>
        <w:t xml:space="preserve"> Cette démarche </w:t>
      </w:r>
      <w:r w:rsidR="00054656">
        <w:rPr>
          <w:rFonts w:ascii="Arial" w:hAnsi="Arial" w:cs="Arial"/>
          <w:bCs/>
          <w:lang w:val="fr-CH"/>
        </w:rPr>
        <w:t>porterait</w:t>
      </w:r>
      <w:r w:rsidR="00054656" w:rsidRPr="0058123E">
        <w:rPr>
          <w:rFonts w:ascii="Arial" w:hAnsi="Arial" w:cs="Arial"/>
          <w:bCs/>
          <w:lang w:val="fr-CH"/>
        </w:rPr>
        <w:t xml:space="preserve"> le potentiel exploitable du bois</w:t>
      </w:r>
      <w:r w:rsidR="00054656">
        <w:rPr>
          <w:rFonts w:ascii="Arial" w:hAnsi="Arial" w:cs="Arial"/>
          <w:bCs/>
          <w:lang w:val="fr-CH"/>
        </w:rPr>
        <w:t xml:space="preserve"> pour les chauffages supplémentaires à environ</w:t>
      </w:r>
      <w:r w:rsidR="00054656" w:rsidRPr="0058123E">
        <w:rPr>
          <w:rFonts w:ascii="Arial" w:hAnsi="Arial" w:cs="Arial"/>
          <w:bCs/>
          <w:lang w:val="fr-CH"/>
        </w:rPr>
        <w:t xml:space="preserve"> 2 </w:t>
      </w:r>
      <w:r w:rsidR="00054656">
        <w:rPr>
          <w:rFonts w:ascii="Arial" w:hAnsi="Arial" w:cs="Arial"/>
          <w:bCs/>
          <w:lang w:val="fr-CH"/>
        </w:rPr>
        <w:t>millions de m</w:t>
      </w:r>
      <w:r w:rsidR="00054656" w:rsidRPr="006C63EB">
        <w:rPr>
          <w:rFonts w:ascii="Arial" w:hAnsi="Arial" w:cs="Arial"/>
          <w:bCs/>
          <w:vertAlign w:val="superscript"/>
          <w:lang w:val="fr-CH"/>
        </w:rPr>
        <w:t>3</w:t>
      </w:r>
      <w:proofErr w:type="gramStart"/>
      <w:r w:rsidR="00054656" w:rsidRPr="0058123E">
        <w:rPr>
          <w:rFonts w:ascii="Arial" w:hAnsi="Arial" w:cs="Arial"/>
          <w:bCs/>
          <w:lang w:val="fr-CH"/>
        </w:rPr>
        <w:t>.</w:t>
      </w:r>
      <w:r w:rsidR="001D0737" w:rsidRPr="00054656">
        <w:rPr>
          <w:rFonts w:ascii="Arial" w:hAnsi="Arial" w:cs="Arial"/>
          <w:bCs/>
          <w:lang w:val="fr-CH"/>
        </w:rPr>
        <w:t>»</w:t>
      </w:r>
      <w:proofErr w:type="gramEnd"/>
      <w:r w:rsidR="00B944C9" w:rsidRPr="00054656">
        <w:rPr>
          <w:rFonts w:ascii="Arial" w:hAnsi="Arial" w:cs="Arial"/>
          <w:bCs/>
          <w:lang w:val="fr-CH"/>
        </w:rPr>
        <w:t xml:space="preserve"> </w:t>
      </w:r>
      <w:r w:rsidR="00DF6413" w:rsidRPr="00DF6413">
        <w:rPr>
          <w:rFonts w:ascii="Arial" w:hAnsi="Arial" w:cs="Arial"/>
          <w:bCs/>
          <w:lang w:val="fr-CH"/>
        </w:rPr>
        <w:t xml:space="preserve">Nous disposons donc effectivement d’une bonne marge de manœuvre et le bois-énergie </w:t>
      </w:r>
      <w:r>
        <w:rPr>
          <w:rFonts w:ascii="Arial" w:hAnsi="Arial" w:cs="Arial"/>
          <w:bCs/>
          <w:lang w:val="fr-CH"/>
        </w:rPr>
        <w:t>sera</w:t>
      </w:r>
      <w:r w:rsidR="00DF6413" w:rsidRPr="00DF6413">
        <w:rPr>
          <w:rFonts w:ascii="Arial" w:hAnsi="Arial" w:cs="Arial"/>
          <w:bCs/>
          <w:lang w:val="fr-CH"/>
        </w:rPr>
        <w:t xml:space="preserve"> capable d’apporter une contribution importante à la transition énergé</w:t>
      </w:r>
      <w:r w:rsidR="00DF6413">
        <w:rPr>
          <w:rFonts w:ascii="Arial" w:hAnsi="Arial" w:cs="Arial"/>
          <w:bCs/>
          <w:lang w:val="fr-CH"/>
        </w:rPr>
        <w:t>tique au cours des prochaines années.</w:t>
      </w:r>
    </w:p>
    <w:p w14:paraId="5C669C66" w14:textId="77777777" w:rsidR="00462CA9" w:rsidRPr="00DF6413" w:rsidRDefault="00462CA9" w:rsidP="00D03A0E">
      <w:pPr>
        <w:spacing w:after="0"/>
        <w:rPr>
          <w:rFonts w:ascii="Arial" w:hAnsi="Arial" w:cs="Arial"/>
          <w:bCs/>
          <w:lang w:val="fr-CH"/>
        </w:rPr>
      </w:pPr>
    </w:p>
    <w:p w14:paraId="6F9F65D7" w14:textId="7AD03076" w:rsidR="006F21B2" w:rsidRPr="00E6472D" w:rsidRDefault="00E6472D" w:rsidP="00442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7C5351">
        <w:rPr>
          <w:rFonts w:ascii="Arial" w:hAnsi="Arial" w:cs="Arial"/>
          <w:b/>
          <w:lang w:val="fr-CH"/>
        </w:rPr>
        <w:t>A propos d’Energie-bois Suisse</w:t>
      </w:r>
    </w:p>
    <w:p w14:paraId="0CE379AF" w14:textId="77777777" w:rsidR="00E6472D" w:rsidRPr="0058123E" w:rsidRDefault="00E6472D" w:rsidP="00E64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fr-CH"/>
        </w:rPr>
      </w:pPr>
      <w:r w:rsidRPr="00533861">
        <w:rPr>
          <w:rFonts w:ascii="Arial" w:hAnsi="Arial" w:cs="Arial"/>
          <w:lang w:val="fr-CH"/>
        </w:rPr>
        <w:t>Depuis 19</w:t>
      </w:r>
      <w:r>
        <w:rPr>
          <w:rFonts w:ascii="Arial" w:hAnsi="Arial" w:cs="Arial"/>
          <w:lang w:val="fr-CH"/>
        </w:rPr>
        <w:t>79</w:t>
      </w:r>
      <w:r w:rsidRPr="00533861">
        <w:rPr>
          <w:rFonts w:ascii="Arial" w:hAnsi="Arial" w:cs="Arial"/>
          <w:lang w:val="fr-CH"/>
        </w:rPr>
        <w:t xml:space="preserve">, l’association </w:t>
      </w:r>
      <w:r>
        <w:rPr>
          <w:rFonts w:ascii="Arial" w:hAnsi="Arial" w:cs="Arial"/>
          <w:lang w:val="fr-CH"/>
        </w:rPr>
        <w:t xml:space="preserve">professionnelle </w:t>
      </w:r>
      <w:r w:rsidRPr="00533861">
        <w:rPr>
          <w:rFonts w:ascii="Arial" w:hAnsi="Arial" w:cs="Arial"/>
          <w:lang w:val="fr-CH"/>
        </w:rPr>
        <w:t>Energie-bois Suisse assure un service professionnel d’information et de conseil et s’engage pour une utilisation accrue de la</w:t>
      </w:r>
      <w:proofErr w:type="gramStart"/>
      <w:r w:rsidRPr="00533861">
        <w:rPr>
          <w:rFonts w:ascii="Arial" w:hAnsi="Arial" w:cs="Arial"/>
          <w:lang w:val="fr-CH"/>
        </w:rPr>
        <w:t xml:space="preserve"> «chaleur</w:t>
      </w:r>
      <w:proofErr w:type="gramEnd"/>
      <w:r w:rsidRPr="00533861">
        <w:rPr>
          <w:rFonts w:ascii="Arial" w:hAnsi="Arial" w:cs="Arial"/>
          <w:lang w:val="fr-CH"/>
        </w:rPr>
        <w:t xml:space="preserve"> issue de la forêt» auprès des autorités et des décideurs</w:t>
      </w:r>
      <w:r w:rsidRPr="00CD759B">
        <w:rPr>
          <w:rFonts w:ascii="Arial" w:hAnsi="Arial" w:cs="Arial"/>
          <w:lang w:val="fr-CH"/>
        </w:rPr>
        <w:t>.</w:t>
      </w:r>
      <w:r>
        <w:rPr>
          <w:rFonts w:ascii="Arial" w:hAnsi="Arial" w:cs="Arial"/>
          <w:lang w:val="fr-CH"/>
        </w:rPr>
        <w:t xml:space="preserve"> </w:t>
      </w:r>
      <w:hyperlink r:id="rId7" w:history="1">
        <w:r w:rsidRPr="003D7117">
          <w:rPr>
            <w:rStyle w:val="Hyperlink"/>
            <w:rFonts w:ascii="Arial" w:hAnsi="Arial" w:cs="Arial"/>
            <w:lang w:val="fr-CH"/>
          </w:rPr>
          <w:t>www.energie-bois.ch</w:t>
        </w:r>
      </w:hyperlink>
    </w:p>
    <w:p w14:paraId="24CAA19F" w14:textId="77777777" w:rsidR="00833DB0" w:rsidRPr="00916C1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6C9DF3BF" w14:textId="45414C21" w:rsidR="004612FD" w:rsidRDefault="004612FD">
      <w:pPr>
        <w:spacing w:after="160" w:line="259" w:lineRule="auto"/>
        <w:rPr>
          <w:rFonts w:ascii="Arial" w:hAnsi="Arial" w:cs="Arial"/>
          <w:i/>
          <w:sz w:val="20"/>
          <w:lang w:val="fr-CH"/>
        </w:rPr>
      </w:pPr>
      <w:r>
        <w:rPr>
          <w:rFonts w:ascii="Arial" w:hAnsi="Arial" w:cs="Arial"/>
          <w:i/>
          <w:sz w:val="20"/>
          <w:lang w:val="fr-CH"/>
        </w:rPr>
        <w:br w:type="page"/>
      </w:r>
    </w:p>
    <w:p w14:paraId="75126B7F" w14:textId="77777777" w:rsidR="00462CA9" w:rsidRPr="00916C13" w:rsidRDefault="00462CA9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</w:p>
    <w:p w14:paraId="14004686" w14:textId="3722A85F" w:rsidR="00833DB0" w:rsidRPr="00916C1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proofErr w:type="gramStart"/>
      <w:r w:rsidRPr="00916C13">
        <w:rPr>
          <w:rFonts w:ascii="Arial" w:hAnsi="Arial" w:cs="Arial"/>
          <w:i/>
          <w:sz w:val="20"/>
          <w:lang w:val="fr-CH"/>
        </w:rPr>
        <w:t>Aut</w:t>
      </w:r>
      <w:r w:rsidR="00E6472D" w:rsidRPr="00916C13">
        <w:rPr>
          <w:rFonts w:ascii="Arial" w:hAnsi="Arial" w:cs="Arial"/>
          <w:i/>
          <w:sz w:val="20"/>
          <w:lang w:val="fr-CH"/>
        </w:rPr>
        <w:t>eu</w:t>
      </w:r>
      <w:r w:rsidRPr="00916C13">
        <w:rPr>
          <w:rFonts w:ascii="Arial" w:hAnsi="Arial" w:cs="Arial"/>
          <w:i/>
          <w:sz w:val="20"/>
          <w:lang w:val="fr-CH"/>
        </w:rPr>
        <w:t>r:</w:t>
      </w:r>
      <w:proofErr w:type="gramEnd"/>
    </w:p>
    <w:p w14:paraId="699E473D" w14:textId="7A3E7C54" w:rsidR="00833DB0" w:rsidRPr="00916C13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916C13">
        <w:rPr>
          <w:rFonts w:ascii="Arial" w:hAnsi="Arial" w:cs="Arial"/>
          <w:i/>
          <w:sz w:val="20"/>
          <w:lang w:val="fr-CH"/>
        </w:rPr>
        <w:t>Christoph Rutschmann</w:t>
      </w:r>
    </w:p>
    <w:p w14:paraId="47846F80" w14:textId="77777777" w:rsidR="00E6472D" w:rsidRPr="003D7117" w:rsidRDefault="00E6472D" w:rsidP="00E6472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Pour le compte de</w:t>
      </w:r>
    </w:p>
    <w:p w14:paraId="3EB665C1" w14:textId="77777777" w:rsidR="00E6472D" w:rsidRPr="009C0C0B" w:rsidRDefault="00E6472D" w:rsidP="00E6472D">
      <w:pPr>
        <w:spacing w:after="0" w:line="240" w:lineRule="auto"/>
        <w:rPr>
          <w:rFonts w:ascii="Arial" w:hAnsi="Arial" w:cs="Arial"/>
          <w:i/>
          <w:sz w:val="20"/>
          <w:lang w:val="fr-CH"/>
        </w:rPr>
      </w:pPr>
      <w:r w:rsidRPr="003D7117">
        <w:rPr>
          <w:rFonts w:ascii="Arial" w:hAnsi="Arial" w:cs="Arial"/>
          <w:i/>
          <w:sz w:val="20"/>
          <w:lang w:val="fr-CH"/>
        </w:rPr>
        <w:t>Energie-bois Suisse</w:t>
      </w:r>
    </w:p>
    <w:p w14:paraId="7796E959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Neugasse 10</w:t>
      </w:r>
    </w:p>
    <w:p w14:paraId="7382F8AF" w14:textId="096334C1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 xml:space="preserve">8005 </w:t>
      </w:r>
      <w:proofErr w:type="spellStart"/>
      <w:r w:rsidRPr="008C0CFB">
        <w:rPr>
          <w:rFonts w:ascii="Arial" w:hAnsi="Arial" w:cs="Arial"/>
          <w:i/>
          <w:sz w:val="20"/>
        </w:rPr>
        <w:t>Z</w:t>
      </w:r>
      <w:r w:rsidR="00E6472D">
        <w:rPr>
          <w:rFonts w:ascii="Arial" w:hAnsi="Arial" w:cs="Arial"/>
          <w:i/>
          <w:sz w:val="20"/>
        </w:rPr>
        <w:t>u</w:t>
      </w:r>
      <w:r w:rsidRPr="008C0CFB">
        <w:rPr>
          <w:rFonts w:ascii="Arial" w:hAnsi="Arial" w:cs="Arial"/>
          <w:i/>
          <w:sz w:val="20"/>
        </w:rPr>
        <w:t>rich</w:t>
      </w:r>
      <w:proofErr w:type="spellEnd"/>
    </w:p>
    <w:p w14:paraId="028B4D6F" w14:textId="25AF196C" w:rsidR="00833DB0" w:rsidRPr="008C0CFB" w:rsidRDefault="005129B2" w:rsidP="00833DB0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r w:rsidRPr="008C0CFB">
        <w:rPr>
          <w:rFonts w:ascii="Arial" w:hAnsi="Arial" w:cs="Arial"/>
          <w:i/>
          <w:sz w:val="20"/>
        </w:rPr>
        <w:t>T</w:t>
      </w:r>
      <w:r w:rsidR="00E6472D">
        <w:rPr>
          <w:rFonts w:ascii="Arial" w:hAnsi="Arial" w:cs="Arial"/>
          <w:i/>
          <w:sz w:val="20"/>
        </w:rPr>
        <w:t>é</w:t>
      </w:r>
      <w:r w:rsidRPr="008C0CFB">
        <w:rPr>
          <w:rFonts w:ascii="Arial" w:hAnsi="Arial" w:cs="Arial"/>
          <w:i/>
          <w:sz w:val="20"/>
        </w:rPr>
        <w:t>l</w:t>
      </w:r>
      <w:proofErr w:type="spellEnd"/>
      <w:r w:rsidR="00E6472D">
        <w:rPr>
          <w:rFonts w:ascii="Arial" w:hAnsi="Arial" w:cs="Arial"/>
          <w:i/>
          <w:sz w:val="20"/>
        </w:rPr>
        <w:t>.</w:t>
      </w:r>
      <w:r w:rsidR="00833DB0" w:rsidRPr="008C0CFB">
        <w:rPr>
          <w:rFonts w:ascii="Arial" w:hAnsi="Arial" w:cs="Arial"/>
          <w:i/>
          <w:sz w:val="20"/>
        </w:rPr>
        <w:t>: 044 250 88 11</w:t>
      </w:r>
    </w:p>
    <w:p w14:paraId="3526588B" w14:textId="77777777" w:rsidR="00833DB0" w:rsidRPr="008C0CFB" w:rsidRDefault="00833DB0" w:rsidP="00833DB0">
      <w:pPr>
        <w:spacing w:after="0" w:line="240" w:lineRule="auto"/>
        <w:rPr>
          <w:rFonts w:ascii="Arial" w:hAnsi="Arial" w:cs="Arial"/>
          <w:i/>
          <w:sz w:val="20"/>
        </w:rPr>
      </w:pPr>
      <w:r w:rsidRPr="008C0CFB">
        <w:rPr>
          <w:rFonts w:ascii="Arial" w:hAnsi="Arial" w:cs="Arial"/>
          <w:i/>
          <w:sz w:val="20"/>
        </w:rPr>
        <w:t>info@holzenergie.ch</w:t>
      </w:r>
    </w:p>
    <w:p w14:paraId="5BE100CA" w14:textId="77777777" w:rsidR="006F21B2" w:rsidRPr="008C0CFB" w:rsidRDefault="006F21B2" w:rsidP="00442798">
      <w:pPr>
        <w:spacing w:after="0" w:line="240" w:lineRule="auto"/>
        <w:rPr>
          <w:rFonts w:ascii="Arial" w:hAnsi="Arial" w:cs="Arial"/>
          <w:i/>
          <w:sz w:val="20"/>
        </w:rPr>
      </w:pPr>
    </w:p>
    <w:p w14:paraId="2310A7B7" w14:textId="6C352B8D" w:rsidR="006F21B2" w:rsidRPr="008C0CFB" w:rsidRDefault="00E6472D" w:rsidP="00442798">
      <w:pPr>
        <w:spacing w:after="0"/>
        <w:rPr>
          <w:rFonts w:ascii="Arial" w:hAnsi="Arial" w:cs="Arial"/>
          <w:b/>
          <w:i/>
          <w:sz w:val="20"/>
        </w:rPr>
      </w:pPr>
      <w:proofErr w:type="spellStart"/>
      <w:r>
        <w:rPr>
          <w:rFonts w:ascii="Arial" w:hAnsi="Arial" w:cs="Arial"/>
          <w:b/>
          <w:i/>
          <w:sz w:val="20"/>
        </w:rPr>
        <w:t>Photos</w:t>
      </w:r>
      <w:proofErr w:type="spellEnd"/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2296"/>
        <w:gridCol w:w="7310"/>
      </w:tblGrid>
      <w:tr w:rsidR="00C35C28" w:rsidRPr="00916C13" w14:paraId="6206EEEF" w14:textId="77777777" w:rsidTr="004C2312">
        <w:tc>
          <w:tcPr>
            <w:tcW w:w="2122" w:type="dxa"/>
          </w:tcPr>
          <w:p w14:paraId="64C3F049" w14:textId="4B2416FC" w:rsidR="00C35C28" w:rsidRPr="008C0CFB" w:rsidRDefault="00462CA9" w:rsidP="004C2312">
            <w:pPr>
              <w:spacing w:after="40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929970" wp14:editId="0C6579C9">
                  <wp:extent cx="1320800" cy="857173"/>
                  <wp:effectExtent l="0" t="0" r="0" b="635"/>
                  <wp:docPr id="11469911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9113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438" cy="873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4BE5FE8E" w14:textId="18799EE3" w:rsidR="00C35C28" w:rsidRPr="00E6472D" w:rsidRDefault="00E6472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E6472D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35C28" w:rsidRPr="00E6472D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16365DA" w14:textId="77777777" w:rsidR="00C35C28" w:rsidRPr="00E6472D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6D4734FC" w14:textId="147EA533" w:rsidR="00C35C28" w:rsidRPr="00E6472D" w:rsidRDefault="00E6472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6C63EB">
              <w:rPr>
                <w:rFonts w:ascii="Arial" w:hAnsi="Arial" w:cs="Arial"/>
                <w:i/>
                <w:sz w:val="20"/>
                <w:lang w:val="fr-CH"/>
              </w:rPr>
              <w:t xml:space="preserve">Le monitoring bois-énergie en </w:t>
            </w:r>
            <w:proofErr w:type="gramStart"/>
            <w:r w:rsidRPr="006C63EB">
              <w:rPr>
                <w:rFonts w:ascii="Arial" w:hAnsi="Arial" w:cs="Arial"/>
                <w:i/>
                <w:sz w:val="20"/>
                <w:lang w:val="fr-CH"/>
              </w:rPr>
              <w:t>Suisse</w:t>
            </w:r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utiliser</w:t>
            </w:r>
            <w:r w:rsidRPr="006C63EB">
              <w:rPr>
                <w:rFonts w:ascii="Arial" w:hAnsi="Arial" w:cs="Arial"/>
                <w:i/>
                <w:sz w:val="20"/>
                <w:lang w:val="fr-CH"/>
              </w:rPr>
              <w:t xml:space="preserve"> le bois-énergie </w:t>
            </w:r>
            <w:r>
              <w:rPr>
                <w:rFonts w:ascii="Arial" w:hAnsi="Arial" w:cs="Arial"/>
                <w:i/>
                <w:sz w:val="20"/>
                <w:lang w:val="fr-CH"/>
              </w:rPr>
              <w:t>à bon escient</w:t>
            </w:r>
            <w:r w:rsidR="00A346ED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5FC88AC0" w14:textId="77777777" w:rsidR="00C35C28" w:rsidRPr="00E6472D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B7FD479" w14:textId="77D11FE3" w:rsidR="00C35C28" w:rsidRPr="00E6472D" w:rsidRDefault="00E6472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E6472D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  <w:tr w:rsidR="00C35C28" w:rsidRPr="00916C13" w14:paraId="26AC2172" w14:textId="77777777" w:rsidTr="00C35C28">
        <w:tc>
          <w:tcPr>
            <w:tcW w:w="2122" w:type="dxa"/>
          </w:tcPr>
          <w:p w14:paraId="3F0943E1" w14:textId="70514135" w:rsidR="00C35C28" w:rsidRPr="008C0CFB" w:rsidRDefault="00EC225D" w:rsidP="00EC225D">
            <w:pPr>
              <w:spacing w:after="4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83F7D85" wp14:editId="52020F53">
                  <wp:extent cx="1321387" cy="901197"/>
                  <wp:effectExtent l="0" t="0" r="0" b="0"/>
                  <wp:docPr id="3118535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5357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01" cy="91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617DEEA5" w14:textId="3B37DF5C" w:rsidR="00C35C28" w:rsidRPr="00916C13" w:rsidRDefault="00E6472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916C13">
              <w:rPr>
                <w:rFonts w:ascii="Arial" w:hAnsi="Arial" w:cs="Arial"/>
                <w:b/>
                <w:i/>
                <w:sz w:val="20"/>
                <w:lang w:val="fr-CH"/>
              </w:rPr>
              <w:t>Légende</w:t>
            </w:r>
            <w:r w:rsidR="00C35C28" w:rsidRPr="00916C13">
              <w:rPr>
                <w:rFonts w:ascii="Arial" w:hAnsi="Arial" w:cs="Arial"/>
                <w:b/>
                <w:i/>
                <w:sz w:val="20"/>
                <w:lang w:val="fr-CH"/>
              </w:rPr>
              <w:t>:</w:t>
            </w:r>
            <w:proofErr w:type="gramEnd"/>
            <w:r w:rsidR="00C35C28" w:rsidRPr="00916C13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</w:p>
          <w:p w14:paraId="37391CF7" w14:textId="77777777" w:rsidR="00C35C28" w:rsidRPr="00916C13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2518EE39" w14:textId="2A118FCA" w:rsidR="00C35C28" w:rsidRPr="00E6472D" w:rsidRDefault="00A346E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r w:rsidRPr="00E6472D">
              <w:rPr>
                <w:rFonts w:ascii="Arial" w:hAnsi="Arial" w:cs="Arial"/>
                <w:i/>
                <w:sz w:val="20"/>
                <w:lang w:val="fr-CH"/>
              </w:rPr>
              <w:t>Andreas Keel</w:t>
            </w:r>
            <w:r w:rsidR="00EC225D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, </w:t>
            </w:r>
            <w:r w:rsidR="00E6472D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Energie-bois </w:t>
            </w:r>
            <w:proofErr w:type="gramStart"/>
            <w:r w:rsidR="00E6472D" w:rsidRPr="00E6472D">
              <w:rPr>
                <w:rFonts w:ascii="Arial" w:hAnsi="Arial" w:cs="Arial"/>
                <w:i/>
                <w:sz w:val="20"/>
                <w:lang w:val="fr-CH"/>
              </w:rPr>
              <w:t>Suisse</w:t>
            </w:r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</w:t>
            </w:r>
            <w:r w:rsidR="007A6C65" w:rsidRPr="00E6472D">
              <w:rPr>
                <w:rFonts w:ascii="Arial" w:hAnsi="Arial" w:cs="Arial"/>
                <w:i/>
                <w:sz w:val="20"/>
                <w:lang w:val="fr-CH"/>
              </w:rPr>
              <w:t>«</w:t>
            </w:r>
            <w:r w:rsidR="00E6472D" w:rsidRPr="00E6472D">
              <w:rPr>
                <w:rFonts w:ascii="Arial" w:hAnsi="Arial" w:cs="Arial"/>
                <w:i/>
                <w:sz w:val="20"/>
                <w:lang w:val="fr-CH"/>
              </w:rPr>
              <w:t>L’approvisionnement est garanti en tout temps</w:t>
            </w:r>
            <w:r w:rsidR="007A6C65" w:rsidRPr="00E6472D">
              <w:rPr>
                <w:rFonts w:ascii="Arial" w:hAnsi="Arial" w:cs="Arial"/>
                <w:i/>
                <w:sz w:val="20"/>
                <w:lang w:val="fr-CH"/>
              </w:rPr>
              <w:t>.»</w:t>
            </w:r>
          </w:p>
          <w:p w14:paraId="4877C6EA" w14:textId="77777777" w:rsidR="00C35C28" w:rsidRPr="00E6472D" w:rsidRDefault="00C35C28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</w:p>
          <w:p w14:paraId="3616E06A" w14:textId="58BBF2D5" w:rsidR="00C35C28" w:rsidRPr="00E6472D" w:rsidRDefault="00E6472D" w:rsidP="004C2312">
            <w:pPr>
              <w:spacing w:after="40"/>
              <w:rPr>
                <w:rFonts w:ascii="Arial" w:hAnsi="Arial" w:cs="Arial"/>
                <w:i/>
                <w:sz w:val="20"/>
                <w:lang w:val="fr-CH"/>
              </w:rPr>
            </w:pPr>
            <w:proofErr w:type="gramStart"/>
            <w:r w:rsidRPr="00E6472D">
              <w:rPr>
                <w:rFonts w:ascii="Arial" w:hAnsi="Arial" w:cs="Arial"/>
                <w:i/>
                <w:sz w:val="20"/>
                <w:lang w:val="fr-CH"/>
              </w:rPr>
              <w:t>Source</w:t>
            </w:r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>:</w:t>
            </w:r>
            <w:proofErr w:type="gramEnd"/>
            <w:r w:rsidR="00C35C28" w:rsidRPr="00E6472D">
              <w:rPr>
                <w:rFonts w:ascii="Arial" w:hAnsi="Arial" w:cs="Arial"/>
                <w:i/>
                <w:sz w:val="20"/>
                <w:lang w:val="fr-CH"/>
              </w:rPr>
              <w:t xml:space="preserve"> Christoph Rutschmann, </w:t>
            </w:r>
            <w:r w:rsidRPr="00542A44">
              <w:rPr>
                <w:rFonts w:ascii="Arial" w:hAnsi="Arial" w:cs="Arial"/>
                <w:i/>
                <w:sz w:val="20"/>
                <w:lang w:val="fr-CH"/>
              </w:rPr>
              <w:t>Energie-bois Suisse</w:t>
            </w:r>
          </w:p>
        </w:tc>
      </w:tr>
    </w:tbl>
    <w:p w14:paraId="1FFA91AB" w14:textId="01275681" w:rsidR="00C119D5" w:rsidRPr="00E6472D" w:rsidRDefault="00C119D5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p w14:paraId="7CC76C42" w14:textId="77777777" w:rsidR="00EC225D" w:rsidRPr="00E6472D" w:rsidRDefault="00EC225D" w:rsidP="00D34A9C">
      <w:pPr>
        <w:spacing w:after="0" w:line="240" w:lineRule="auto"/>
        <w:rPr>
          <w:rFonts w:ascii="Arial" w:hAnsi="Arial" w:cs="Arial"/>
          <w:sz w:val="20"/>
          <w:lang w:val="fr-CH"/>
        </w:rPr>
      </w:pPr>
    </w:p>
    <w:sectPr w:rsidR="00EC225D" w:rsidRPr="00E6472D" w:rsidSect="00B25FD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85FFB" w14:textId="77777777" w:rsidR="00B25FD1" w:rsidRDefault="00B25FD1" w:rsidP="006F21B2">
      <w:pPr>
        <w:spacing w:after="0" w:line="240" w:lineRule="auto"/>
      </w:pPr>
      <w:r>
        <w:separator/>
      </w:r>
    </w:p>
  </w:endnote>
  <w:endnote w:type="continuationSeparator" w:id="0">
    <w:p w14:paraId="6487BE8F" w14:textId="77777777" w:rsidR="00B25FD1" w:rsidRDefault="00B25FD1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C8F6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D1CC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763F1" w14:textId="77777777" w:rsidR="00B25FD1" w:rsidRDefault="00B25FD1" w:rsidP="006F21B2">
      <w:pPr>
        <w:spacing w:after="0" w:line="240" w:lineRule="auto"/>
      </w:pPr>
      <w:r>
        <w:separator/>
      </w:r>
    </w:p>
  </w:footnote>
  <w:footnote w:type="continuationSeparator" w:id="0">
    <w:p w14:paraId="42786201" w14:textId="77777777" w:rsidR="00B25FD1" w:rsidRDefault="00B25FD1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69114" w14:textId="77777777" w:rsidR="005D6790" w:rsidRDefault="00EB3AF2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2203097A" wp14:editId="698F4BCF">
          <wp:simplePos x="0" y="0"/>
          <wp:positionH relativeFrom="column">
            <wp:posOffset>-384810</wp:posOffset>
          </wp:positionH>
          <wp:positionV relativeFrom="paragraph">
            <wp:posOffset>-116840</wp:posOffset>
          </wp:positionV>
          <wp:extent cx="1296035" cy="360680"/>
          <wp:effectExtent l="0" t="0" r="0" b="1270"/>
          <wp:wrapNone/>
          <wp:docPr id="12" name="Bild 1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389251" w14:textId="77777777" w:rsidR="005D6790" w:rsidRDefault="005D6790">
    <w:pPr>
      <w:pStyle w:val="Kopfzeile"/>
      <w:rPr>
        <w:spacing w:val="1"/>
        <w:sz w:val="17"/>
      </w:rPr>
    </w:pPr>
  </w:p>
  <w:p w14:paraId="54521666" w14:textId="77777777" w:rsidR="005D6790" w:rsidRDefault="005D6790">
    <w:pPr>
      <w:pStyle w:val="Kopfzeile"/>
      <w:rPr>
        <w:spacing w:val="1"/>
        <w:sz w:val="17"/>
      </w:rPr>
    </w:pPr>
  </w:p>
  <w:p w14:paraId="6C323340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D3F2" w14:textId="01138AFF" w:rsidR="005D6790" w:rsidRPr="003308D6" w:rsidRDefault="00325C3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64C99FB9" wp14:editId="0EF7A3C5">
          <wp:simplePos x="0" y="0"/>
          <wp:positionH relativeFrom="column">
            <wp:posOffset>-156845</wp:posOffset>
          </wp:positionH>
          <wp:positionV relativeFrom="paragraph">
            <wp:posOffset>12065</wp:posOffset>
          </wp:positionV>
          <wp:extent cx="2320938" cy="648000"/>
          <wp:effectExtent l="0" t="0" r="3175" b="0"/>
          <wp:wrapNone/>
          <wp:docPr id="5" name="Bild 2" descr="Holzenergie Schweiz klein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lzenergie Schweiz klein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5964"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2390C9E0" wp14:editId="2C8DA823">
          <wp:simplePos x="0" y="0"/>
          <wp:positionH relativeFrom="column">
            <wp:posOffset>2600325</wp:posOffset>
          </wp:positionH>
          <wp:positionV relativeFrom="paragraph">
            <wp:posOffset>-85725</wp:posOffset>
          </wp:positionV>
          <wp:extent cx="1796800" cy="1234800"/>
          <wp:effectExtent l="0" t="0" r="0" b="3810"/>
          <wp:wrapNone/>
          <wp:docPr id="4" name="Bild 1" descr="specht_logo_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ht_logo_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800" cy="12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8EED65" wp14:editId="76F85EB3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B5D0" w14:textId="519E44B0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EED6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7908B5D0" w14:textId="519E44B0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3308D6">
      <w:rPr>
        <w:rFonts w:ascii="Arial" w:hAnsi="Arial" w:cs="Arial"/>
        <w:sz w:val="17"/>
      </w:rPr>
      <w:tab/>
    </w:r>
    <w:r w:rsidR="00EB3AF2" w:rsidRPr="003308D6">
      <w:rPr>
        <w:rFonts w:ascii="Arial" w:hAnsi="Arial" w:cs="Arial"/>
        <w:b/>
        <w:bCs/>
        <w:spacing w:val="1"/>
        <w:sz w:val="17"/>
      </w:rPr>
      <w:t>Holzenergie Schweiz</w:t>
    </w:r>
  </w:p>
  <w:p w14:paraId="25BCED4B" w14:textId="6641D950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 xml:space="preserve">Neugasse </w:t>
    </w:r>
    <w:r w:rsidR="00170833">
      <w:rPr>
        <w:rFonts w:ascii="Arial" w:hAnsi="Arial" w:cs="Arial"/>
        <w:spacing w:val="1"/>
        <w:sz w:val="17"/>
      </w:rPr>
      <w:t>10</w:t>
    </w:r>
  </w:p>
  <w:p w14:paraId="5BE80BD2" w14:textId="77777777" w:rsidR="005D6790" w:rsidRPr="006F21B2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</w:rPr>
    </w:pPr>
    <w:r w:rsidRPr="006F21B2">
      <w:rPr>
        <w:rFonts w:ascii="Arial" w:hAnsi="Arial" w:cs="Arial"/>
        <w:b/>
        <w:bCs/>
        <w:spacing w:val="1"/>
        <w:sz w:val="17"/>
      </w:rPr>
      <w:tab/>
      <w:t>8005 Zürich</w:t>
    </w:r>
  </w:p>
  <w:p w14:paraId="701A4C41" w14:textId="5D186403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3308D6">
      <w:rPr>
        <w:rFonts w:ascii="Arial" w:hAnsi="Arial" w:cs="Arial"/>
        <w:spacing w:val="1"/>
        <w:sz w:val="17"/>
      </w:rPr>
      <w:tab/>
      <w:t>Telefon 044 250 88 11</w:t>
    </w:r>
  </w:p>
  <w:p w14:paraId="3BEC5911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info@holzenergie.ch</w:t>
    </w:r>
  </w:p>
  <w:p w14:paraId="7521B9F6" w14:textId="77777777" w:rsidR="005D6790" w:rsidRPr="00C610AE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</w:rPr>
    </w:pPr>
    <w:r w:rsidRPr="00C610AE">
      <w:rPr>
        <w:rFonts w:ascii="Arial" w:hAnsi="Arial" w:cs="Arial"/>
        <w:spacing w:val="1"/>
        <w:sz w:val="17"/>
      </w:rPr>
      <w:tab/>
      <w:t>www.holzenergie.ch</w:t>
    </w:r>
  </w:p>
  <w:p w14:paraId="29E81BF0" w14:textId="77777777" w:rsidR="005D6790" w:rsidRPr="003308D6" w:rsidRDefault="00EB3AF2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C610AE">
      <w:rPr>
        <w:rFonts w:ascii="Arial" w:hAnsi="Arial" w:cs="Arial"/>
        <w:spacing w:val="1"/>
        <w:sz w:val="17"/>
      </w:rPr>
      <w:tab/>
    </w:r>
    <w:r w:rsidRPr="003308D6">
      <w:rPr>
        <w:rFonts w:ascii="Arial" w:hAnsi="Arial" w:cs="Arial"/>
        <w:spacing w:val="1"/>
        <w:sz w:val="17"/>
        <w:lang w:val="fr-FR"/>
      </w:rPr>
      <w:t>www.energieschweiz.ch</w:t>
    </w:r>
  </w:p>
  <w:p w14:paraId="48848C8C" w14:textId="77777777" w:rsidR="005D6790" w:rsidRPr="00055B72" w:rsidRDefault="005D6790" w:rsidP="00B31B75">
    <w:pPr>
      <w:pStyle w:val="Kopfzeil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0152"/>
    <w:multiLevelType w:val="multilevel"/>
    <w:tmpl w:val="890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136B"/>
    <w:multiLevelType w:val="hybridMultilevel"/>
    <w:tmpl w:val="E0408F34"/>
    <w:lvl w:ilvl="0" w:tplc="B3E4CE52">
      <w:start w:val="1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E2F05"/>
    <w:multiLevelType w:val="hybridMultilevel"/>
    <w:tmpl w:val="84FE90D0"/>
    <w:lvl w:ilvl="0" w:tplc="DFA8D756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E5E83"/>
    <w:multiLevelType w:val="multilevel"/>
    <w:tmpl w:val="40B4B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02E31"/>
    <w:multiLevelType w:val="multilevel"/>
    <w:tmpl w:val="6DF8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A3BCE"/>
    <w:multiLevelType w:val="hybridMultilevel"/>
    <w:tmpl w:val="183E74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389D"/>
    <w:multiLevelType w:val="hybridMultilevel"/>
    <w:tmpl w:val="91C26A6E"/>
    <w:lvl w:ilvl="0" w:tplc="9EDE27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23A4F"/>
    <w:multiLevelType w:val="multilevel"/>
    <w:tmpl w:val="6BEE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D6BE0"/>
    <w:multiLevelType w:val="hybridMultilevel"/>
    <w:tmpl w:val="D6D06412"/>
    <w:lvl w:ilvl="0" w:tplc="FA682C90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3"/>
  </w:num>
  <w:num w:numId="2" w16cid:durableId="1417359736">
    <w:abstractNumId w:val="0"/>
  </w:num>
  <w:num w:numId="3" w16cid:durableId="1335258711">
    <w:abstractNumId w:val="8"/>
  </w:num>
  <w:num w:numId="4" w16cid:durableId="852109580">
    <w:abstractNumId w:val="13"/>
  </w:num>
  <w:num w:numId="5" w16cid:durableId="1349789751">
    <w:abstractNumId w:val="1"/>
  </w:num>
  <w:num w:numId="6" w16cid:durableId="2036417586">
    <w:abstractNumId w:val="5"/>
  </w:num>
  <w:num w:numId="7" w16cid:durableId="179508318">
    <w:abstractNumId w:val="15"/>
  </w:num>
  <w:num w:numId="8" w16cid:durableId="1488784764">
    <w:abstractNumId w:val="7"/>
  </w:num>
  <w:num w:numId="9" w16cid:durableId="619381117">
    <w:abstractNumId w:val="6"/>
  </w:num>
  <w:num w:numId="10" w16cid:durableId="2068721162">
    <w:abstractNumId w:val="12"/>
  </w:num>
  <w:num w:numId="11" w16cid:durableId="662777293">
    <w:abstractNumId w:val="11"/>
  </w:num>
  <w:num w:numId="12" w16cid:durableId="1646659821">
    <w:abstractNumId w:val="4"/>
  </w:num>
  <w:num w:numId="13" w16cid:durableId="208035470">
    <w:abstractNumId w:val="14"/>
  </w:num>
  <w:num w:numId="14" w16cid:durableId="564923966">
    <w:abstractNumId w:val="10"/>
  </w:num>
  <w:num w:numId="15" w16cid:durableId="1519393465">
    <w:abstractNumId w:val="2"/>
  </w:num>
  <w:num w:numId="16" w16cid:durableId="313950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42AF"/>
    <w:rsid w:val="00016707"/>
    <w:rsid w:val="00021991"/>
    <w:rsid w:val="00021F94"/>
    <w:rsid w:val="0002408E"/>
    <w:rsid w:val="0002616D"/>
    <w:rsid w:val="000372D5"/>
    <w:rsid w:val="00037D09"/>
    <w:rsid w:val="00043AD1"/>
    <w:rsid w:val="00051E2A"/>
    <w:rsid w:val="00053B3F"/>
    <w:rsid w:val="00054656"/>
    <w:rsid w:val="000602F9"/>
    <w:rsid w:val="00063D1A"/>
    <w:rsid w:val="000664F4"/>
    <w:rsid w:val="0007368B"/>
    <w:rsid w:val="0007412D"/>
    <w:rsid w:val="00075F3B"/>
    <w:rsid w:val="000802C1"/>
    <w:rsid w:val="00085EE0"/>
    <w:rsid w:val="000913B7"/>
    <w:rsid w:val="00091BDD"/>
    <w:rsid w:val="00095307"/>
    <w:rsid w:val="00096086"/>
    <w:rsid w:val="000A1D12"/>
    <w:rsid w:val="000A2788"/>
    <w:rsid w:val="000B1BDD"/>
    <w:rsid w:val="000B25BF"/>
    <w:rsid w:val="000B2924"/>
    <w:rsid w:val="000B54C4"/>
    <w:rsid w:val="000B5C51"/>
    <w:rsid w:val="000C133B"/>
    <w:rsid w:val="000C61A8"/>
    <w:rsid w:val="000C6734"/>
    <w:rsid w:val="000C757D"/>
    <w:rsid w:val="000D5BEA"/>
    <w:rsid w:val="000D5D3A"/>
    <w:rsid w:val="000D6D86"/>
    <w:rsid w:val="000E14AA"/>
    <w:rsid w:val="000E1B9F"/>
    <w:rsid w:val="000E302E"/>
    <w:rsid w:val="000E324A"/>
    <w:rsid w:val="000E4663"/>
    <w:rsid w:val="000E46C3"/>
    <w:rsid w:val="000E587F"/>
    <w:rsid w:val="000F1E99"/>
    <w:rsid w:val="000F3FFD"/>
    <w:rsid w:val="000F4E47"/>
    <w:rsid w:val="000F7D28"/>
    <w:rsid w:val="001030E2"/>
    <w:rsid w:val="00103AE7"/>
    <w:rsid w:val="001049EE"/>
    <w:rsid w:val="00117463"/>
    <w:rsid w:val="00120A7D"/>
    <w:rsid w:val="00120D63"/>
    <w:rsid w:val="00125B52"/>
    <w:rsid w:val="00126B03"/>
    <w:rsid w:val="00135FB3"/>
    <w:rsid w:val="00141D16"/>
    <w:rsid w:val="001424DB"/>
    <w:rsid w:val="00151971"/>
    <w:rsid w:val="0015233D"/>
    <w:rsid w:val="00153671"/>
    <w:rsid w:val="001537E7"/>
    <w:rsid w:val="00157E99"/>
    <w:rsid w:val="00161DAE"/>
    <w:rsid w:val="00164382"/>
    <w:rsid w:val="001653F8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512"/>
    <w:rsid w:val="00197A52"/>
    <w:rsid w:val="001A0FEC"/>
    <w:rsid w:val="001A11B4"/>
    <w:rsid w:val="001A20A0"/>
    <w:rsid w:val="001A3916"/>
    <w:rsid w:val="001A415E"/>
    <w:rsid w:val="001B1CC0"/>
    <w:rsid w:val="001B2423"/>
    <w:rsid w:val="001B3269"/>
    <w:rsid w:val="001B79BD"/>
    <w:rsid w:val="001C1FF3"/>
    <w:rsid w:val="001C374E"/>
    <w:rsid w:val="001C3EA0"/>
    <w:rsid w:val="001C402C"/>
    <w:rsid w:val="001C5AF8"/>
    <w:rsid w:val="001C7BDF"/>
    <w:rsid w:val="001D0737"/>
    <w:rsid w:val="001D1F63"/>
    <w:rsid w:val="001D40AF"/>
    <w:rsid w:val="001D4B32"/>
    <w:rsid w:val="001D52B5"/>
    <w:rsid w:val="001D5931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11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235D4"/>
    <w:rsid w:val="00223DBC"/>
    <w:rsid w:val="00225C0E"/>
    <w:rsid w:val="002365D2"/>
    <w:rsid w:val="00250A6D"/>
    <w:rsid w:val="00254A13"/>
    <w:rsid w:val="002555E9"/>
    <w:rsid w:val="0027620A"/>
    <w:rsid w:val="00276653"/>
    <w:rsid w:val="002820B8"/>
    <w:rsid w:val="00283AD5"/>
    <w:rsid w:val="0028445D"/>
    <w:rsid w:val="00292C78"/>
    <w:rsid w:val="002936A3"/>
    <w:rsid w:val="00293F39"/>
    <w:rsid w:val="002A0852"/>
    <w:rsid w:val="002A0864"/>
    <w:rsid w:val="002A2D57"/>
    <w:rsid w:val="002A30E2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D6CC4"/>
    <w:rsid w:val="002E16F1"/>
    <w:rsid w:val="002E20F8"/>
    <w:rsid w:val="002E29CE"/>
    <w:rsid w:val="002E4A39"/>
    <w:rsid w:val="002E5E90"/>
    <w:rsid w:val="002E66DC"/>
    <w:rsid w:val="002F059A"/>
    <w:rsid w:val="002F09E7"/>
    <w:rsid w:val="002F7E2A"/>
    <w:rsid w:val="0030250A"/>
    <w:rsid w:val="00303CA7"/>
    <w:rsid w:val="00303FFD"/>
    <w:rsid w:val="003052B0"/>
    <w:rsid w:val="00305AC3"/>
    <w:rsid w:val="0030631B"/>
    <w:rsid w:val="00312790"/>
    <w:rsid w:val="00313B10"/>
    <w:rsid w:val="00325C36"/>
    <w:rsid w:val="00331310"/>
    <w:rsid w:val="0033152C"/>
    <w:rsid w:val="0033230B"/>
    <w:rsid w:val="0033328A"/>
    <w:rsid w:val="00333F78"/>
    <w:rsid w:val="0033419F"/>
    <w:rsid w:val="00335A7E"/>
    <w:rsid w:val="00336CBF"/>
    <w:rsid w:val="00337872"/>
    <w:rsid w:val="0034296E"/>
    <w:rsid w:val="00347BAE"/>
    <w:rsid w:val="0035129B"/>
    <w:rsid w:val="0035580F"/>
    <w:rsid w:val="00356742"/>
    <w:rsid w:val="00357A2B"/>
    <w:rsid w:val="003607AE"/>
    <w:rsid w:val="00360B97"/>
    <w:rsid w:val="003620F0"/>
    <w:rsid w:val="00365183"/>
    <w:rsid w:val="003745BD"/>
    <w:rsid w:val="00376B37"/>
    <w:rsid w:val="00377AC6"/>
    <w:rsid w:val="00382522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5242"/>
    <w:rsid w:val="00407274"/>
    <w:rsid w:val="00414C31"/>
    <w:rsid w:val="004159F2"/>
    <w:rsid w:val="0041616F"/>
    <w:rsid w:val="004211B1"/>
    <w:rsid w:val="00422C3B"/>
    <w:rsid w:val="004279E6"/>
    <w:rsid w:val="004308B2"/>
    <w:rsid w:val="00431E05"/>
    <w:rsid w:val="00432179"/>
    <w:rsid w:val="0043315F"/>
    <w:rsid w:val="00433608"/>
    <w:rsid w:val="004347EE"/>
    <w:rsid w:val="00442798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12FD"/>
    <w:rsid w:val="00462CA9"/>
    <w:rsid w:val="0046328F"/>
    <w:rsid w:val="004643A7"/>
    <w:rsid w:val="00483E57"/>
    <w:rsid w:val="004851EA"/>
    <w:rsid w:val="004870F5"/>
    <w:rsid w:val="00490E52"/>
    <w:rsid w:val="00490F06"/>
    <w:rsid w:val="00492D7A"/>
    <w:rsid w:val="00494941"/>
    <w:rsid w:val="004A2E7B"/>
    <w:rsid w:val="004A35BB"/>
    <w:rsid w:val="004A35E6"/>
    <w:rsid w:val="004A36EB"/>
    <w:rsid w:val="004A3ED5"/>
    <w:rsid w:val="004A4272"/>
    <w:rsid w:val="004A52E8"/>
    <w:rsid w:val="004B2C88"/>
    <w:rsid w:val="004B7299"/>
    <w:rsid w:val="004C0826"/>
    <w:rsid w:val="004C1924"/>
    <w:rsid w:val="004C590C"/>
    <w:rsid w:val="004C6A63"/>
    <w:rsid w:val="004D061D"/>
    <w:rsid w:val="004D11CA"/>
    <w:rsid w:val="004D1536"/>
    <w:rsid w:val="004D16E9"/>
    <w:rsid w:val="004D4A62"/>
    <w:rsid w:val="004E2512"/>
    <w:rsid w:val="004F16C5"/>
    <w:rsid w:val="004F1DAF"/>
    <w:rsid w:val="004F2423"/>
    <w:rsid w:val="004F31D9"/>
    <w:rsid w:val="004F5BEB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4BA1"/>
    <w:rsid w:val="005466D3"/>
    <w:rsid w:val="00551334"/>
    <w:rsid w:val="00551FEE"/>
    <w:rsid w:val="0055395E"/>
    <w:rsid w:val="00555396"/>
    <w:rsid w:val="00555FEF"/>
    <w:rsid w:val="0055660C"/>
    <w:rsid w:val="005618CE"/>
    <w:rsid w:val="00562605"/>
    <w:rsid w:val="00565FA4"/>
    <w:rsid w:val="00571DA7"/>
    <w:rsid w:val="0057470C"/>
    <w:rsid w:val="00574D68"/>
    <w:rsid w:val="00576E77"/>
    <w:rsid w:val="00577B91"/>
    <w:rsid w:val="00581497"/>
    <w:rsid w:val="005831E2"/>
    <w:rsid w:val="005847CE"/>
    <w:rsid w:val="005858CA"/>
    <w:rsid w:val="00585F8E"/>
    <w:rsid w:val="00586933"/>
    <w:rsid w:val="00593351"/>
    <w:rsid w:val="0059507F"/>
    <w:rsid w:val="00597EFD"/>
    <w:rsid w:val="005A2E26"/>
    <w:rsid w:val="005A4CCB"/>
    <w:rsid w:val="005A6D54"/>
    <w:rsid w:val="005B10CE"/>
    <w:rsid w:val="005B4A7C"/>
    <w:rsid w:val="005C0D40"/>
    <w:rsid w:val="005C1B86"/>
    <w:rsid w:val="005D2E86"/>
    <w:rsid w:val="005D486F"/>
    <w:rsid w:val="005D6790"/>
    <w:rsid w:val="005D7959"/>
    <w:rsid w:val="005E5134"/>
    <w:rsid w:val="005E713D"/>
    <w:rsid w:val="005E7C1C"/>
    <w:rsid w:val="005E7E1D"/>
    <w:rsid w:val="005F1BA1"/>
    <w:rsid w:val="005F3182"/>
    <w:rsid w:val="005F505A"/>
    <w:rsid w:val="00600150"/>
    <w:rsid w:val="00602908"/>
    <w:rsid w:val="006045F9"/>
    <w:rsid w:val="00605C66"/>
    <w:rsid w:val="00606C86"/>
    <w:rsid w:val="006077CC"/>
    <w:rsid w:val="006103E0"/>
    <w:rsid w:val="006115B1"/>
    <w:rsid w:val="00613CBB"/>
    <w:rsid w:val="0061417C"/>
    <w:rsid w:val="00616360"/>
    <w:rsid w:val="0062056C"/>
    <w:rsid w:val="006208C4"/>
    <w:rsid w:val="006216C3"/>
    <w:rsid w:val="00621FC1"/>
    <w:rsid w:val="00622A76"/>
    <w:rsid w:val="00623BCF"/>
    <w:rsid w:val="00625E09"/>
    <w:rsid w:val="00627E2D"/>
    <w:rsid w:val="00627E66"/>
    <w:rsid w:val="006312D7"/>
    <w:rsid w:val="006323DC"/>
    <w:rsid w:val="00632C24"/>
    <w:rsid w:val="00635024"/>
    <w:rsid w:val="00641B97"/>
    <w:rsid w:val="00642CE1"/>
    <w:rsid w:val="006439AB"/>
    <w:rsid w:val="0064545F"/>
    <w:rsid w:val="00653012"/>
    <w:rsid w:val="00653B98"/>
    <w:rsid w:val="00654CE6"/>
    <w:rsid w:val="00656E86"/>
    <w:rsid w:val="006572CE"/>
    <w:rsid w:val="00661E27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537A"/>
    <w:rsid w:val="006A631E"/>
    <w:rsid w:val="006A6D07"/>
    <w:rsid w:val="006B16F0"/>
    <w:rsid w:val="006C081B"/>
    <w:rsid w:val="006C19A8"/>
    <w:rsid w:val="006C3352"/>
    <w:rsid w:val="006C6028"/>
    <w:rsid w:val="006D0503"/>
    <w:rsid w:val="006D0B5A"/>
    <w:rsid w:val="006D2490"/>
    <w:rsid w:val="006D5B27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063EF"/>
    <w:rsid w:val="0071142D"/>
    <w:rsid w:val="007139DE"/>
    <w:rsid w:val="0071747D"/>
    <w:rsid w:val="0072305A"/>
    <w:rsid w:val="00730536"/>
    <w:rsid w:val="00731C26"/>
    <w:rsid w:val="007328F6"/>
    <w:rsid w:val="00733ACA"/>
    <w:rsid w:val="007410FB"/>
    <w:rsid w:val="0074138F"/>
    <w:rsid w:val="00746D73"/>
    <w:rsid w:val="00747D24"/>
    <w:rsid w:val="00751D56"/>
    <w:rsid w:val="00752B0E"/>
    <w:rsid w:val="00752C75"/>
    <w:rsid w:val="00754FFC"/>
    <w:rsid w:val="00760FC0"/>
    <w:rsid w:val="00762F0D"/>
    <w:rsid w:val="00764242"/>
    <w:rsid w:val="00770347"/>
    <w:rsid w:val="00770EEA"/>
    <w:rsid w:val="007747C0"/>
    <w:rsid w:val="0077608B"/>
    <w:rsid w:val="00776D77"/>
    <w:rsid w:val="00777094"/>
    <w:rsid w:val="00783BAD"/>
    <w:rsid w:val="00783F65"/>
    <w:rsid w:val="007855EC"/>
    <w:rsid w:val="00795038"/>
    <w:rsid w:val="007955C3"/>
    <w:rsid w:val="00795F54"/>
    <w:rsid w:val="00796F43"/>
    <w:rsid w:val="007A04AE"/>
    <w:rsid w:val="007A6C65"/>
    <w:rsid w:val="007B2EB7"/>
    <w:rsid w:val="007B48AF"/>
    <w:rsid w:val="007B6027"/>
    <w:rsid w:val="007B7B55"/>
    <w:rsid w:val="007C0F6A"/>
    <w:rsid w:val="007C20A6"/>
    <w:rsid w:val="007C2F2E"/>
    <w:rsid w:val="007C6BE4"/>
    <w:rsid w:val="007D0031"/>
    <w:rsid w:val="007D04F9"/>
    <w:rsid w:val="007D39FD"/>
    <w:rsid w:val="007E1557"/>
    <w:rsid w:val="007F149F"/>
    <w:rsid w:val="007F4401"/>
    <w:rsid w:val="007F50DD"/>
    <w:rsid w:val="007F5868"/>
    <w:rsid w:val="007F59EF"/>
    <w:rsid w:val="007F5B6C"/>
    <w:rsid w:val="007F6488"/>
    <w:rsid w:val="008024C8"/>
    <w:rsid w:val="008064D0"/>
    <w:rsid w:val="00807459"/>
    <w:rsid w:val="00820662"/>
    <w:rsid w:val="008216C9"/>
    <w:rsid w:val="0082356C"/>
    <w:rsid w:val="008243FF"/>
    <w:rsid w:val="008276E4"/>
    <w:rsid w:val="008334CC"/>
    <w:rsid w:val="00833DB0"/>
    <w:rsid w:val="0083475F"/>
    <w:rsid w:val="00842962"/>
    <w:rsid w:val="008438B2"/>
    <w:rsid w:val="0085599B"/>
    <w:rsid w:val="00856478"/>
    <w:rsid w:val="008572E9"/>
    <w:rsid w:val="00861D12"/>
    <w:rsid w:val="00865BCE"/>
    <w:rsid w:val="00866867"/>
    <w:rsid w:val="00871CBA"/>
    <w:rsid w:val="00872EF9"/>
    <w:rsid w:val="0087633D"/>
    <w:rsid w:val="00882101"/>
    <w:rsid w:val="0088486B"/>
    <w:rsid w:val="00891181"/>
    <w:rsid w:val="00893BF8"/>
    <w:rsid w:val="008A2FBC"/>
    <w:rsid w:val="008A4087"/>
    <w:rsid w:val="008A7D1F"/>
    <w:rsid w:val="008B01DC"/>
    <w:rsid w:val="008B0EB0"/>
    <w:rsid w:val="008B6D24"/>
    <w:rsid w:val="008B7154"/>
    <w:rsid w:val="008C0CFB"/>
    <w:rsid w:val="008C0EF4"/>
    <w:rsid w:val="008C2D59"/>
    <w:rsid w:val="008C7FB4"/>
    <w:rsid w:val="008D06C3"/>
    <w:rsid w:val="008D0F0C"/>
    <w:rsid w:val="008D1546"/>
    <w:rsid w:val="008D3720"/>
    <w:rsid w:val="008D4630"/>
    <w:rsid w:val="008E0094"/>
    <w:rsid w:val="008E294D"/>
    <w:rsid w:val="008E4063"/>
    <w:rsid w:val="008E557F"/>
    <w:rsid w:val="008E689A"/>
    <w:rsid w:val="008F54E7"/>
    <w:rsid w:val="008F6BF8"/>
    <w:rsid w:val="00912DD0"/>
    <w:rsid w:val="00913900"/>
    <w:rsid w:val="0091454C"/>
    <w:rsid w:val="00914C02"/>
    <w:rsid w:val="00915CCB"/>
    <w:rsid w:val="00916C13"/>
    <w:rsid w:val="00921C6B"/>
    <w:rsid w:val="009226F4"/>
    <w:rsid w:val="00924955"/>
    <w:rsid w:val="00925D45"/>
    <w:rsid w:val="00926D8D"/>
    <w:rsid w:val="009300CC"/>
    <w:rsid w:val="00933AF2"/>
    <w:rsid w:val="00942D2A"/>
    <w:rsid w:val="00943079"/>
    <w:rsid w:val="00944549"/>
    <w:rsid w:val="009447F7"/>
    <w:rsid w:val="009460CD"/>
    <w:rsid w:val="00947168"/>
    <w:rsid w:val="0095017A"/>
    <w:rsid w:val="00951891"/>
    <w:rsid w:val="00954838"/>
    <w:rsid w:val="0095710A"/>
    <w:rsid w:val="00961285"/>
    <w:rsid w:val="00964A28"/>
    <w:rsid w:val="00966DB9"/>
    <w:rsid w:val="009678A4"/>
    <w:rsid w:val="00970D73"/>
    <w:rsid w:val="00971EEF"/>
    <w:rsid w:val="00977CD4"/>
    <w:rsid w:val="00980D97"/>
    <w:rsid w:val="009813BA"/>
    <w:rsid w:val="00983C5B"/>
    <w:rsid w:val="0098418F"/>
    <w:rsid w:val="00991127"/>
    <w:rsid w:val="00991F0A"/>
    <w:rsid w:val="00993AC8"/>
    <w:rsid w:val="00993D79"/>
    <w:rsid w:val="009A0C38"/>
    <w:rsid w:val="009A3DB1"/>
    <w:rsid w:val="009A6166"/>
    <w:rsid w:val="009B0293"/>
    <w:rsid w:val="009B1CB8"/>
    <w:rsid w:val="009B1FA7"/>
    <w:rsid w:val="009B25D3"/>
    <w:rsid w:val="009B74A3"/>
    <w:rsid w:val="009C020F"/>
    <w:rsid w:val="009D1AF4"/>
    <w:rsid w:val="009D322A"/>
    <w:rsid w:val="009D3C24"/>
    <w:rsid w:val="009E06BE"/>
    <w:rsid w:val="009E5324"/>
    <w:rsid w:val="009F0371"/>
    <w:rsid w:val="009F3AD1"/>
    <w:rsid w:val="009F58A6"/>
    <w:rsid w:val="00A003C7"/>
    <w:rsid w:val="00A016B8"/>
    <w:rsid w:val="00A0639D"/>
    <w:rsid w:val="00A13C0E"/>
    <w:rsid w:val="00A144BB"/>
    <w:rsid w:val="00A150D7"/>
    <w:rsid w:val="00A16C89"/>
    <w:rsid w:val="00A23891"/>
    <w:rsid w:val="00A23BD5"/>
    <w:rsid w:val="00A31590"/>
    <w:rsid w:val="00A32382"/>
    <w:rsid w:val="00A3354A"/>
    <w:rsid w:val="00A346ED"/>
    <w:rsid w:val="00A34E48"/>
    <w:rsid w:val="00A357FA"/>
    <w:rsid w:val="00A36598"/>
    <w:rsid w:val="00A42A25"/>
    <w:rsid w:val="00A44069"/>
    <w:rsid w:val="00A5200C"/>
    <w:rsid w:val="00A55952"/>
    <w:rsid w:val="00A60D92"/>
    <w:rsid w:val="00A623AF"/>
    <w:rsid w:val="00A62CD1"/>
    <w:rsid w:val="00A638BE"/>
    <w:rsid w:val="00A72B49"/>
    <w:rsid w:val="00A72C73"/>
    <w:rsid w:val="00A737B9"/>
    <w:rsid w:val="00A755BC"/>
    <w:rsid w:val="00A77040"/>
    <w:rsid w:val="00A777A4"/>
    <w:rsid w:val="00A8433A"/>
    <w:rsid w:val="00A860F4"/>
    <w:rsid w:val="00A87BF7"/>
    <w:rsid w:val="00A904F1"/>
    <w:rsid w:val="00A90FD3"/>
    <w:rsid w:val="00A97AE3"/>
    <w:rsid w:val="00AA1C11"/>
    <w:rsid w:val="00AA7304"/>
    <w:rsid w:val="00AB0C23"/>
    <w:rsid w:val="00AB1E10"/>
    <w:rsid w:val="00AB29D9"/>
    <w:rsid w:val="00AB2AED"/>
    <w:rsid w:val="00AC05B2"/>
    <w:rsid w:val="00AC1983"/>
    <w:rsid w:val="00AC38D8"/>
    <w:rsid w:val="00AC3AC9"/>
    <w:rsid w:val="00AD3823"/>
    <w:rsid w:val="00AD4589"/>
    <w:rsid w:val="00AE62AE"/>
    <w:rsid w:val="00AF1835"/>
    <w:rsid w:val="00AF2C3F"/>
    <w:rsid w:val="00AF2F28"/>
    <w:rsid w:val="00AF48AA"/>
    <w:rsid w:val="00AF49AD"/>
    <w:rsid w:val="00B033AF"/>
    <w:rsid w:val="00B0489F"/>
    <w:rsid w:val="00B06108"/>
    <w:rsid w:val="00B07A05"/>
    <w:rsid w:val="00B1313A"/>
    <w:rsid w:val="00B25FD1"/>
    <w:rsid w:val="00B263E2"/>
    <w:rsid w:val="00B26536"/>
    <w:rsid w:val="00B3418D"/>
    <w:rsid w:val="00B40329"/>
    <w:rsid w:val="00B40AB9"/>
    <w:rsid w:val="00B428F6"/>
    <w:rsid w:val="00B43174"/>
    <w:rsid w:val="00B43C42"/>
    <w:rsid w:val="00B45D62"/>
    <w:rsid w:val="00B51FC9"/>
    <w:rsid w:val="00B536D8"/>
    <w:rsid w:val="00B5534A"/>
    <w:rsid w:val="00B56120"/>
    <w:rsid w:val="00B57416"/>
    <w:rsid w:val="00B60567"/>
    <w:rsid w:val="00B60C21"/>
    <w:rsid w:val="00B623C4"/>
    <w:rsid w:val="00B62912"/>
    <w:rsid w:val="00B65604"/>
    <w:rsid w:val="00B668E9"/>
    <w:rsid w:val="00B66D39"/>
    <w:rsid w:val="00B703AC"/>
    <w:rsid w:val="00B70BE7"/>
    <w:rsid w:val="00B719EF"/>
    <w:rsid w:val="00B72484"/>
    <w:rsid w:val="00B74BED"/>
    <w:rsid w:val="00B777DC"/>
    <w:rsid w:val="00B8327C"/>
    <w:rsid w:val="00B86D37"/>
    <w:rsid w:val="00B91384"/>
    <w:rsid w:val="00B933BD"/>
    <w:rsid w:val="00B93C94"/>
    <w:rsid w:val="00B944C9"/>
    <w:rsid w:val="00B97B9F"/>
    <w:rsid w:val="00B97BF9"/>
    <w:rsid w:val="00BA4A85"/>
    <w:rsid w:val="00BA4D30"/>
    <w:rsid w:val="00BA5950"/>
    <w:rsid w:val="00BB06FD"/>
    <w:rsid w:val="00BB0DA4"/>
    <w:rsid w:val="00BB1910"/>
    <w:rsid w:val="00BB28FB"/>
    <w:rsid w:val="00BB3276"/>
    <w:rsid w:val="00BB4DBA"/>
    <w:rsid w:val="00BB7DD8"/>
    <w:rsid w:val="00BC0D67"/>
    <w:rsid w:val="00BC372A"/>
    <w:rsid w:val="00BC3D94"/>
    <w:rsid w:val="00BC6643"/>
    <w:rsid w:val="00BD1DB1"/>
    <w:rsid w:val="00BD1FEC"/>
    <w:rsid w:val="00BD2D5A"/>
    <w:rsid w:val="00BD2DA7"/>
    <w:rsid w:val="00BD4107"/>
    <w:rsid w:val="00BD4A97"/>
    <w:rsid w:val="00BD5FCC"/>
    <w:rsid w:val="00BE50EB"/>
    <w:rsid w:val="00BF0D81"/>
    <w:rsid w:val="00BF428D"/>
    <w:rsid w:val="00BF6948"/>
    <w:rsid w:val="00C0524A"/>
    <w:rsid w:val="00C061CC"/>
    <w:rsid w:val="00C070AF"/>
    <w:rsid w:val="00C07ED4"/>
    <w:rsid w:val="00C10EAD"/>
    <w:rsid w:val="00C119D5"/>
    <w:rsid w:val="00C13CE2"/>
    <w:rsid w:val="00C2196E"/>
    <w:rsid w:val="00C244A7"/>
    <w:rsid w:val="00C246B8"/>
    <w:rsid w:val="00C246D8"/>
    <w:rsid w:val="00C25B52"/>
    <w:rsid w:val="00C26DFC"/>
    <w:rsid w:val="00C35C28"/>
    <w:rsid w:val="00C37E90"/>
    <w:rsid w:val="00C41F72"/>
    <w:rsid w:val="00C42398"/>
    <w:rsid w:val="00C45C39"/>
    <w:rsid w:val="00C4629D"/>
    <w:rsid w:val="00C47871"/>
    <w:rsid w:val="00C5024C"/>
    <w:rsid w:val="00C518BD"/>
    <w:rsid w:val="00C51AF7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FEF"/>
    <w:rsid w:val="00C847B0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3912"/>
    <w:rsid w:val="00CA409D"/>
    <w:rsid w:val="00CB20D4"/>
    <w:rsid w:val="00CC0B73"/>
    <w:rsid w:val="00CC0E91"/>
    <w:rsid w:val="00CC1FEA"/>
    <w:rsid w:val="00CC7F30"/>
    <w:rsid w:val="00CD101A"/>
    <w:rsid w:val="00CD1B0B"/>
    <w:rsid w:val="00CD2A4B"/>
    <w:rsid w:val="00CD3632"/>
    <w:rsid w:val="00CD6EAE"/>
    <w:rsid w:val="00CD7BE9"/>
    <w:rsid w:val="00CE74CB"/>
    <w:rsid w:val="00CE7E66"/>
    <w:rsid w:val="00CF108C"/>
    <w:rsid w:val="00CF26B7"/>
    <w:rsid w:val="00CF3DDD"/>
    <w:rsid w:val="00CF4E82"/>
    <w:rsid w:val="00CF68EF"/>
    <w:rsid w:val="00D00072"/>
    <w:rsid w:val="00D016F9"/>
    <w:rsid w:val="00D0180E"/>
    <w:rsid w:val="00D01C11"/>
    <w:rsid w:val="00D0306A"/>
    <w:rsid w:val="00D03364"/>
    <w:rsid w:val="00D03A0E"/>
    <w:rsid w:val="00D072AD"/>
    <w:rsid w:val="00D12A66"/>
    <w:rsid w:val="00D23F72"/>
    <w:rsid w:val="00D24B19"/>
    <w:rsid w:val="00D26AE0"/>
    <w:rsid w:val="00D302B0"/>
    <w:rsid w:val="00D305B9"/>
    <w:rsid w:val="00D34A9C"/>
    <w:rsid w:val="00D35964"/>
    <w:rsid w:val="00D3749E"/>
    <w:rsid w:val="00D402B8"/>
    <w:rsid w:val="00D41E2B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38C4"/>
    <w:rsid w:val="00DA448C"/>
    <w:rsid w:val="00DA519A"/>
    <w:rsid w:val="00DA5AD5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5D02"/>
    <w:rsid w:val="00DF6413"/>
    <w:rsid w:val="00DF7099"/>
    <w:rsid w:val="00E025C2"/>
    <w:rsid w:val="00E12331"/>
    <w:rsid w:val="00E129E1"/>
    <w:rsid w:val="00E21A4E"/>
    <w:rsid w:val="00E22FDA"/>
    <w:rsid w:val="00E243CE"/>
    <w:rsid w:val="00E26889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721E"/>
    <w:rsid w:val="00E57488"/>
    <w:rsid w:val="00E60BE6"/>
    <w:rsid w:val="00E60F7F"/>
    <w:rsid w:val="00E63A03"/>
    <w:rsid w:val="00E63E7C"/>
    <w:rsid w:val="00E6472D"/>
    <w:rsid w:val="00E77A99"/>
    <w:rsid w:val="00E842F3"/>
    <w:rsid w:val="00E845ED"/>
    <w:rsid w:val="00E84793"/>
    <w:rsid w:val="00E8530E"/>
    <w:rsid w:val="00E9091D"/>
    <w:rsid w:val="00E927A1"/>
    <w:rsid w:val="00E93572"/>
    <w:rsid w:val="00E93638"/>
    <w:rsid w:val="00E94733"/>
    <w:rsid w:val="00E94AD2"/>
    <w:rsid w:val="00E94BAB"/>
    <w:rsid w:val="00E95853"/>
    <w:rsid w:val="00EA0D4E"/>
    <w:rsid w:val="00EB3AF2"/>
    <w:rsid w:val="00EB4772"/>
    <w:rsid w:val="00EB4DAD"/>
    <w:rsid w:val="00EB55E3"/>
    <w:rsid w:val="00EB7090"/>
    <w:rsid w:val="00EC0C6F"/>
    <w:rsid w:val="00EC1B97"/>
    <w:rsid w:val="00EC225D"/>
    <w:rsid w:val="00ED5181"/>
    <w:rsid w:val="00ED5A35"/>
    <w:rsid w:val="00ED6789"/>
    <w:rsid w:val="00ED67F2"/>
    <w:rsid w:val="00ED6E8C"/>
    <w:rsid w:val="00ED6F8A"/>
    <w:rsid w:val="00EE76CA"/>
    <w:rsid w:val="00EF580A"/>
    <w:rsid w:val="00F0065E"/>
    <w:rsid w:val="00F01275"/>
    <w:rsid w:val="00F0372B"/>
    <w:rsid w:val="00F04BFB"/>
    <w:rsid w:val="00F04C37"/>
    <w:rsid w:val="00F15014"/>
    <w:rsid w:val="00F1645E"/>
    <w:rsid w:val="00F16C72"/>
    <w:rsid w:val="00F30EDC"/>
    <w:rsid w:val="00F341B7"/>
    <w:rsid w:val="00F44EF7"/>
    <w:rsid w:val="00F4650A"/>
    <w:rsid w:val="00F516F3"/>
    <w:rsid w:val="00F52309"/>
    <w:rsid w:val="00F5295C"/>
    <w:rsid w:val="00F56004"/>
    <w:rsid w:val="00F56FC4"/>
    <w:rsid w:val="00F5773A"/>
    <w:rsid w:val="00F57897"/>
    <w:rsid w:val="00F57C2A"/>
    <w:rsid w:val="00F60FFE"/>
    <w:rsid w:val="00F63310"/>
    <w:rsid w:val="00F65BAC"/>
    <w:rsid w:val="00F71CCC"/>
    <w:rsid w:val="00F7307E"/>
    <w:rsid w:val="00F76E81"/>
    <w:rsid w:val="00F777DA"/>
    <w:rsid w:val="00F80072"/>
    <w:rsid w:val="00F8242D"/>
    <w:rsid w:val="00F845C1"/>
    <w:rsid w:val="00F92E34"/>
    <w:rsid w:val="00F93A97"/>
    <w:rsid w:val="00F93FC8"/>
    <w:rsid w:val="00F945FA"/>
    <w:rsid w:val="00FA6557"/>
    <w:rsid w:val="00FA65AD"/>
    <w:rsid w:val="00FA6864"/>
    <w:rsid w:val="00FB1644"/>
    <w:rsid w:val="00FB38CA"/>
    <w:rsid w:val="00FB4B3D"/>
    <w:rsid w:val="00FB5D0B"/>
    <w:rsid w:val="00FB68D1"/>
    <w:rsid w:val="00FB7181"/>
    <w:rsid w:val="00FB7C48"/>
    <w:rsid w:val="00FC222E"/>
    <w:rsid w:val="00FC3868"/>
    <w:rsid w:val="00FC704A"/>
    <w:rsid w:val="00FD118B"/>
    <w:rsid w:val="00FD196D"/>
    <w:rsid w:val="00FD49FF"/>
    <w:rsid w:val="00FD7297"/>
    <w:rsid w:val="00FE1A49"/>
    <w:rsid w:val="00FE2F22"/>
    <w:rsid w:val="00FF23E1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C236B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nergie-bois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/>
  <dc:description/>
  <cp:lastModifiedBy>Cornelia Schmidt</cp:lastModifiedBy>
  <cp:revision>7</cp:revision>
  <cp:lastPrinted>2024-04-10T07:34:00Z</cp:lastPrinted>
  <dcterms:created xsi:type="dcterms:W3CDTF">2024-04-08T12:41:00Z</dcterms:created>
  <dcterms:modified xsi:type="dcterms:W3CDTF">2024-04-10T07:50:00Z</dcterms:modified>
</cp:coreProperties>
</file>